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BD" w:rsidRDefault="003222BD" w:rsidP="00043E27">
      <w:pPr>
        <w:spacing w:after="0" w:line="240" w:lineRule="auto"/>
        <w:ind w:firstLine="720"/>
        <w:jc w:val="center"/>
        <w:rPr>
          <w:rFonts w:ascii="Plump MT" w:hAnsi="Plump MT"/>
          <w:sz w:val="52"/>
          <w:szCs w:val="52"/>
        </w:rPr>
      </w:pPr>
      <w:bookmarkStart w:id="0" w:name="_GoBack"/>
      <w:bookmarkEnd w:id="0"/>
    </w:p>
    <w:p w:rsidR="003222BD" w:rsidRDefault="003222BD" w:rsidP="00043E27">
      <w:pPr>
        <w:spacing w:after="0" w:line="240" w:lineRule="auto"/>
        <w:ind w:firstLine="720"/>
        <w:jc w:val="center"/>
        <w:rPr>
          <w:rFonts w:ascii="Plump MT" w:hAnsi="Plump MT"/>
          <w:sz w:val="52"/>
          <w:szCs w:val="52"/>
        </w:rPr>
      </w:pPr>
    </w:p>
    <w:p w:rsidR="0079256B" w:rsidRPr="00043E27" w:rsidRDefault="00B6242E"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161A6F" w:rsidRDefault="00161A6F">
                  <w:r>
                    <w:rPr>
                      <w:noProof/>
                      <w:lang w:bidi="he-IL"/>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tblPr>
      <w:tblGrid>
        <w:gridCol w:w="3393"/>
        <w:gridCol w:w="2812"/>
        <w:gridCol w:w="6755"/>
      </w:tblGrid>
      <w:tr w:rsidR="000403F6" w:rsidTr="0021103C">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rsidR="000403F6" w:rsidRDefault="00CE0BF9" w:rsidP="007E4294">
            <w:pPr>
              <w:rPr>
                <w:sz w:val="24"/>
                <w:szCs w:val="24"/>
              </w:rPr>
            </w:pPr>
            <w:r>
              <w:rPr>
                <w:sz w:val="24"/>
                <w:szCs w:val="24"/>
              </w:rPr>
              <w:t xml:space="preserve">Fall 2014 </w:t>
            </w:r>
          </w:p>
        </w:tc>
        <w:tc>
          <w:tcPr>
            <w:tcW w:w="6755" w:type="dxa"/>
            <w:vAlign w:val="center"/>
          </w:tcPr>
          <w:p w:rsidR="000403F6" w:rsidRDefault="00B6242E" w:rsidP="00DF4352">
            <w:pPr>
              <w:rPr>
                <w:sz w:val="24"/>
                <w:szCs w:val="24"/>
              </w:rPr>
            </w:pPr>
            <w:r>
              <w:rPr>
                <w:sz w:val="24"/>
                <w:szCs w:val="24"/>
              </w:rPr>
              <w:fldChar w:fldCharType="begin">
                <w:ffData>
                  <w:name w:val="Check7"/>
                  <w:enabled/>
                  <w:calcOnExit w:val="0"/>
                  <w:checkBox>
                    <w:sizeAuto/>
                    <w:default w:val="0"/>
                  </w:checkBox>
                </w:ffData>
              </w:fldChar>
            </w:r>
            <w:bookmarkStart w:id="1" w:name="Check7"/>
            <w:r w:rsidR="00BA015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sidR="00153AAF">
              <w:rPr>
                <w:sz w:val="24"/>
                <w:szCs w:val="24"/>
              </w:rPr>
              <w:t xml:space="preserve"> </w:t>
            </w:r>
            <w:r w:rsidR="00BA22FE">
              <w:rPr>
                <w:sz w:val="24"/>
                <w:szCs w:val="24"/>
              </w:rPr>
              <w:t>Basic Skills</w:t>
            </w:r>
            <w:r w:rsidR="00271A0B">
              <w:rPr>
                <w:sz w:val="24"/>
                <w:szCs w:val="24"/>
              </w:rPr>
              <w:t xml:space="preserve">   </w:t>
            </w:r>
            <w:r w:rsidR="00DF4352">
              <w:rPr>
                <w:sz w:val="24"/>
                <w:szCs w:val="24"/>
              </w:rPr>
              <w:fldChar w:fldCharType="begin">
                <w:ffData>
                  <w:name w:val="Check8"/>
                  <w:enabled/>
                  <w:calcOnExit w:val="0"/>
                  <w:checkBox>
                    <w:sizeAuto/>
                    <w:default w:val="1"/>
                  </w:checkBox>
                </w:ffData>
              </w:fldChar>
            </w:r>
            <w:bookmarkStart w:id="2" w:name="Check8"/>
            <w:r w:rsidR="00DF4352">
              <w:rPr>
                <w:sz w:val="24"/>
                <w:szCs w:val="24"/>
              </w:rPr>
              <w:instrText xml:space="preserve"> FORMCHECKBOX </w:instrText>
            </w:r>
            <w:r w:rsidR="00DF4352">
              <w:rPr>
                <w:sz w:val="24"/>
                <w:szCs w:val="24"/>
              </w:rPr>
            </w:r>
            <w:r w:rsidR="00DF4352">
              <w:rPr>
                <w:sz w:val="24"/>
                <w:szCs w:val="24"/>
              </w:rPr>
              <w:fldChar w:fldCharType="end"/>
            </w:r>
            <w:bookmarkEnd w:id="2"/>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3" w:name="Check9"/>
            <w:r w:rsidR="00BA015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p>
        </w:tc>
        <w:tc>
          <w:tcPr>
            <w:tcW w:w="9567" w:type="dxa"/>
            <w:gridSpan w:val="2"/>
            <w:vAlign w:val="center"/>
          </w:tcPr>
          <w:p w:rsidR="000403F6" w:rsidRPr="001C394F" w:rsidRDefault="00CE0BF9" w:rsidP="004B7383">
            <w:pPr>
              <w:rPr>
                <w:sz w:val="24"/>
                <w:szCs w:val="24"/>
              </w:rPr>
            </w:pPr>
            <w:r>
              <w:rPr>
                <w:sz w:val="24"/>
                <w:szCs w:val="24"/>
              </w:rPr>
              <w:t xml:space="preserve">Philosophy </w:t>
            </w:r>
            <w:r w:rsidR="00D57B95">
              <w:rPr>
                <w:sz w:val="24"/>
                <w:szCs w:val="24"/>
              </w:rPr>
              <w:t>&amp; Religious Studies</w:t>
            </w:r>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342EDD" w:rsidP="004B7383">
            <w:pPr>
              <w:rPr>
                <w:sz w:val="24"/>
                <w:szCs w:val="24"/>
              </w:rPr>
            </w:pPr>
            <w:r>
              <w:rPr>
                <w:sz w:val="24"/>
                <w:szCs w:val="24"/>
              </w:rPr>
              <w:t>The Philosophy &amp; Religious Studies program offers introductory courses in Philosophy, Ethics, Logic, and Modern Religions in support of the college's general education program.</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DF4352" w:rsidRDefault="00CE0BF9" w:rsidP="004B7383">
            <w:pPr>
              <w:rPr>
                <w:sz w:val="24"/>
                <w:szCs w:val="24"/>
              </w:rPr>
            </w:pPr>
            <w:r w:rsidRPr="00DF4352">
              <w:rPr>
                <w:sz w:val="24"/>
                <w:szCs w:val="24"/>
              </w:rPr>
              <w:t>Arts, Letters, and Learning Services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CE0BF9" w:rsidP="004B7383">
            <w:pPr>
              <w:rPr>
                <w:sz w:val="24"/>
                <w:szCs w:val="24"/>
              </w:rPr>
            </w:pPr>
            <w:r>
              <w:rPr>
                <w:sz w:val="24"/>
                <w:szCs w:val="24"/>
              </w:rPr>
              <w:t xml:space="preserve">Humanities </w:t>
            </w:r>
          </w:p>
        </w:tc>
      </w:tr>
      <w:tr w:rsidR="0097680B"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1C394F" w:rsidRDefault="00CE0BF9" w:rsidP="004B7383">
            <w:pPr>
              <w:rPr>
                <w:sz w:val="24"/>
                <w:szCs w:val="24"/>
              </w:rPr>
            </w:pPr>
            <w:r>
              <w:rPr>
                <w:sz w:val="24"/>
                <w:szCs w:val="24"/>
              </w:rPr>
              <w:t>Aaron S. Edwards</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Pr="00DF4352" w:rsidRDefault="003222BD" w:rsidP="001C31AE">
      <w:pPr>
        <w:spacing w:after="0" w:line="240" w:lineRule="auto"/>
        <w:rPr>
          <w:b/>
          <w:sz w:val="40"/>
          <w:szCs w:val="40"/>
        </w:rPr>
      </w:pPr>
      <w:r w:rsidRPr="000403F6">
        <w:rPr>
          <w:b/>
          <w:sz w:val="40"/>
          <w:szCs w:val="40"/>
        </w:rPr>
        <w:t xml:space="preserve">I. </w:t>
      </w:r>
      <w:r w:rsidRPr="00DF4352">
        <w:rPr>
          <w:b/>
          <w:sz w:val="40"/>
          <w:szCs w:val="40"/>
        </w:rPr>
        <w:t>INSTITUTIONAL GOALS</w:t>
      </w:r>
      <w:r w:rsidR="007456FF" w:rsidRPr="00DF4352">
        <w:rPr>
          <w:b/>
          <w:sz w:val="40"/>
          <w:szCs w:val="40"/>
        </w:rPr>
        <w:t xml:space="preserve"> </w:t>
      </w:r>
      <w:r w:rsidR="007456FF" w:rsidRPr="00DF4352">
        <w:rPr>
          <w:b/>
          <w:sz w:val="36"/>
          <w:szCs w:val="36"/>
        </w:rPr>
        <w:t>(– For each program, one goal must be selected as primary)</w:t>
      </w:r>
    </w:p>
    <w:p w:rsidR="00DF4352" w:rsidRDefault="00DF4352"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tblPr>
      <w:tblGrid>
        <w:gridCol w:w="1980"/>
        <w:gridCol w:w="1638"/>
        <w:gridCol w:w="3420"/>
        <w:gridCol w:w="3420"/>
        <w:gridCol w:w="1980"/>
      </w:tblGrid>
      <w:tr w:rsidR="00A615C4" w:rsidTr="00A615C4">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161A6F">
            <w:pPr>
              <w:jc w:val="center"/>
              <w:rPr>
                <w:b/>
                <w:sz w:val="32"/>
                <w:szCs w:val="32"/>
              </w:rPr>
            </w:pPr>
            <w:r w:rsidRPr="00B30971">
              <w:rPr>
                <w:b/>
                <w:sz w:val="32"/>
                <w:szCs w:val="32"/>
              </w:rPr>
              <w:t>PAST PROGRAM GOAL #1</w:t>
            </w:r>
            <w:r w:rsidR="00DF3CFB">
              <w:rPr>
                <w:b/>
                <w:sz w:val="32"/>
                <w:szCs w:val="32"/>
              </w:rPr>
              <w:t xml:space="preserve"> </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rsidR="00A615C4" w:rsidRPr="00DF4352" w:rsidRDefault="00A615C4" w:rsidP="000C3BC9">
            <w:pPr>
              <w:rPr>
                <w:bCs/>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r w:rsidR="00CE0BF9">
              <w:rPr>
                <w:b/>
                <w:sz w:val="24"/>
                <w:szCs w:val="24"/>
              </w:rPr>
              <w:t xml:space="preserve"> </w:t>
            </w:r>
            <w:r w:rsidR="00DF4352">
              <w:rPr>
                <w:b/>
                <w:sz w:val="24"/>
                <w:szCs w:val="24"/>
              </w:rPr>
              <w:t xml:space="preserve">  </w:t>
            </w:r>
            <w:r w:rsidR="00CE0BF9" w:rsidRPr="00DF4352">
              <w:rPr>
                <w:bCs/>
                <w:sz w:val="24"/>
                <w:szCs w:val="24"/>
              </w:rPr>
              <w:t xml:space="preserve">Distance Education Courses  </w:t>
            </w:r>
          </w:p>
          <w:p w:rsidR="00A615C4" w:rsidRPr="00DF4352" w:rsidRDefault="00A615C4" w:rsidP="000C3BC9">
            <w:pPr>
              <w:rPr>
                <w:bCs/>
                <w:sz w:val="24"/>
                <w:szCs w:val="24"/>
              </w:rPr>
            </w:pPr>
          </w:p>
          <w:p w:rsidR="00A615C4" w:rsidRPr="005707F9" w:rsidRDefault="00A615C4"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A615C4" w:rsidRPr="00FD66D9" w:rsidRDefault="00DF4352" w:rsidP="00BA0153">
            <w:pPr>
              <w:rPr>
                <w:b/>
                <w:sz w:val="24"/>
                <w:szCs w:val="24"/>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sidR="001276CD">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DF4352">
            <w:pPr>
              <w:rPr>
                <w:sz w:val="20"/>
                <w:szCs w:val="20"/>
              </w:rPr>
            </w:pPr>
            <w:r w:rsidRPr="001471B3">
              <w:rPr>
                <w:sz w:val="20"/>
                <w:szCs w:val="20"/>
              </w:rPr>
              <w:t xml:space="preserve">     </w:t>
            </w:r>
            <w:r w:rsidR="00DF4352">
              <w:rPr>
                <w:sz w:val="20"/>
                <w:szCs w:val="20"/>
              </w:rPr>
              <w:fldChar w:fldCharType="begin">
                <w:ffData>
                  <w:name w:val="Check5"/>
                  <w:enabled/>
                  <w:calcOnExit w:val="0"/>
                  <w:checkBox>
                    <w:sizeAuto/>
                    <w:default w:val="0"/>
                  </w:checkBox>
                </w:ffData>
              </w:fldChar>
            </w:r>
            <w:r w:rsidR="00DF4352">
              <w:rPr>
                <w:sz w:val="20"/>
                <w:szCs w:val="20"/>
              </w:rPr>
              <w:instrText xml:space="preserve"> FORMCHECKBOX </w:instrText>
            </w:r>
            <w:r w:rsidR="00DF4352">
              <w:rPr>
                <w:sz w:val="20"/>
                <w:szCs w:val="20"/>
              </w:rPr>
            </w:r>
            <w:r w:rsidR="00DF4352">
              <w:rPr>
                <w:sz w:val="20"/>
                <w:szCs w:val="20"/>
              </w:rPr>
              <w:fldChar w:fldCharType="separate"/>
            </w:r>
            <w:r w:rsidR="00DF4352">
              <w:rPr>
                <w:sz w:val="20"/>
                <w:szCs w:val="20"/>
              </w:rPr>
              <w:fldChar w:fldCharType="end"/>
            </w:r>
            <w:r w:rsidR="00DF4352" w:rsidRPr="001471B3">
              <w:rPr>
                <w:sz w:val="20"/>
                <w:szCs w:val="20"/>
              </w:rPr>
              <w:t xml:space="preserve"> </w:t>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6242E">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w:t>
            </w:r>
            <w:r w:rsidR="00DF4352">
              <w:rPr>
                <w:sz w:val="20"/>
                <w:szCs w:val="20"/>
              </w:rPr>
              <w:t xml:space="preserve"> </w:t>
            </w:r>
            <w:r w:rsidRPr="001471B3">
              <w:rPr>
                <w:sz w:val="20"/>
                <w:szCs w:val="20"/>
              </w:rPr>
              <w:t xml:space="preserve">1.2 </w:t>
            </w:r>
            <w:r>
              <w:rPr>
                <w:sz w:val="20"/>
                <w:szCs w:val="20"/>
              </w:rPr>
              <w:t xml:space="preserve"> </w:t>
            </w: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1.4</w:t>
            </w:r>
          </w:p>
          <w:p w:rsidR="00A615C4" w:rsidRPr="00FD66D9" w:rsidRDefault="00DF4352" w:rsidP="00BA0153">
            <w:pPr>
              <w:rPr>
                <w:b/>
                <w:sz w:val="24"/>
                <w:szCs w:val="24"/>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end"/>
            </w:r>
            <w:bookmarkEnd w:id="4"/>
            <w:r w:rsidRPr="001471B3">
              <w:rPr>
                <w:sz w:val="20"/>
                <w:szCs w:val="20"/>
              </w:rPr>
              <w:t xml:space="preserve"> </w:t>
            </w:r>
            <w:r w:rsidR="001276CD">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DF4352">
            <w:pPr>
              <w:rPr>
                <w:sz w:val="20"/>
                <w:szCs w:val="20"/>
              </w:rPr>
            </w:pPr>
            <w:r w:rsidRPr="001471B3">
              <w:rPr>
                <w:sz w:val="20"/>
                <w:szCs w:val="20"/>
              </w:rPr>
              <w:t xml:space="preserve">     </w:t>
            </w:r>
            <w:r w:rsidR="00DF4352">
              <w:rPr>
                <w:sz w:val="20"/>
                <w:szCs w:val="20"/>
              </w:rPr>
              <w:fldChar w:fldCharType="begin">
                <w:ffData>
                  <w:name w:val="Check5"/>
                  <w:enabled/>
                  <w:calcOnExit w:val="0"/>
                  <w:checkBox>
                    <w:sizeAuto/>
                    <w:default w:val="0"/>
                  </w:checkBox>
                </w:ffData>
              </w:fldChar>
            </w:r>
            <w:r w:rsidR="00DF4352">
              <w:rPr>
                <w:sz w:val="20"/>
                <w:szCs w:val="20"/>
              </w:rPr>
              <w:instrText xml:space="preserve"> FORMCHECKBOX </w:instrText>
            </w:r>
            <w:r w:rsidR="00DF4352">
              <w:rPr>
                <w:sz w:val="20"/>
                <w:szCs w:val="20"/>
              </w:rPr>
            </w:r>
            <w:r w:rsidR="00DF4352">
              <w:rPr>
                <w:sz w:val="20"/>
                <w:szCs w:val="20"/>
              </w:rPr>
              <w:fldChar w:fldCharType="separate"/>
            </w:r>
            <w:r w:rsidR="00DF4352">
              <w:rPr>
                <w:sz w:val="20"/>
                <w:szCs w:val="20"/>
              </w:rPr>
              <w:fldChar w:fldCharType="end"/>
            </w:r>
            <w:r w:rsidR="00DF4352" w:rsidRPr="001471B3">
              <w:rPr>
                <w:sz w:val="20"/>
                <w:szCs w:val="20"/>
              </w:rPr>
              <w:t xml:space="preserve"> </w:t>
            </w:r>
            <w:r w:rsidRPr="001471B3">
              <w:rPr>
                <w:sz w:val="20"/>
                <w:szCs w:val="20"/>
              </w:rPr>
              <w:t xml:space="preserve"> 2.1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w:t>
            </w:r>
            <w:r w:rsidR="00DF4352">
              <w:rPr>
                <w:sz w:val="20"/>
                <w:szCs w:val="20"/>
              </w:rPr>
              <w:t xml:space="preserve"> </w:t>
            </w:r>
            <w:r w:rsidRPr="001471B3">
              <w:rPr>
                <w:sz w:val="20"/>
                <w:szCs w:val="20"/>
              </w:rPr>
              <w:t xml:space="preserve">2.2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2.5</w:t>
            </w:r>
          </w:p>
          <w:p w:rsidR="00A615C4" w:rsidRPr="001471B3" w:rsidRDefault="00A615C4" w:rsidP="00DF4352">
            <w:pPr>
              <w:rPr>
                <w:sz w:val="20"/>
                <w:szCs w:val="20"/>
              </w:rPr>
            </w:pPr>
            <w:r w:rsidRPr="001471B3">
              <w:rPr>
                <w:sz w:val="20"/>
                <w:szCs w:val="20"/>
              </w:rPr>
              <w:t xml:space="preserve">     </w:t>
            </w:r>
            <w:r w:rsidR="00DF4352">
              <w:rPr>
                <w:sz w:val="20"/>
                <w:szCs w:val="20"/>
              </w:rPr>
              <w:fldChar w:fldCharType="begin">
                <w:ffData>
                  <w:name w:val="Check5"/>
                  <w:enabled/>
                  <w:calcOnExit w:val="0"/>
                  <w:checkBox>
                    <w:sizeAuto/>
                    <w:default w:val="0"/>
                  </w:checkBox>
                </w:ffData>
              </w:fldChar>
            </w:r>
            <w:r w:rsidR="00DF4352">
              <w:rPr>
                <w:sz w:val="20"/>
                <w:szCs w:val="20"/>
              </w:rPr>
              <w:instrText xml:space="preserve"> FORMCHECKBOX </w:instrText>
            </w:r>
            <w:r w:rsidR="00DF4352">
              <w:rPr>
                <w:sz w:val="20"/>
                <w:szCs w:val="20"/>
              </w:rPr>
            </w:r>
            <w:r w:rsidR="00DF4352">
              <w:rPr>
                <w:sz w:val="20"/>
                <w:szCs w:val="20"/>
              </w:rPr>
              <w:fldChar w:fldCharType="separate"/>
            </w:r>
            <w:r w:rsidR="00DF4352">
              <w:rPr>
                <w:sz w:val="20"/>
                <w:szCs w:val="20"/>
              </w:rPr>
              <w:fldChar w:fldCharType="end"/>
            </w:r>
            <w:r w:rsidR="00DF4352" w:rsidRPr="001471B3">
              <w:rPr>
                <w:sz w:val="20"/>
                <w:szCs w:val="20"/>
              </w:rPr>
              <w:t xml:space="preserve"> </w:t>
            </w:r>
            <w:r w:rsidRPr="001471B3">
              <w:rPr>
                <w:sz w:val="20"/>
                <w:szCs w:val="20"/>
              </w:rPr>
              <w:t xml:space="preserve"> 2.3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2.6</w:t>
            </w:r>
          </w:p>
          <w:p w:rsidR="00A615C4" w:rsidRDefault="00B6242E"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3.1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3.2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3.3    </w:t>
            </w:r>
          </w:p>
          <w:p w:rsidR="00A615C4" w:rsidRPr="00FD66D9" w:rsidRDefault="00B6242E"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4.1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4.2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4.3</w:t>
            </w:r>
            <w:r w:rsidRPr="00C34C62">
              <w:t xml:space="preserve">    </w:t>
            </w:r>
          </w:p>
        </w:tc>
      </w:tr>
      <w:tr w:rsidR="00A615C4" w:rsidTr="00A615C4">
        <w:tc>
          <w:tcPr>
            <w:tcW w:w="3618" w:type="dxa"/>
            <w:gridSpan w:val="2"/>
            <w:tcBorders>
              <w:top w:val="single" w:sz="4" w:space="0" w:color="auto"/>
              <w:left w:val="single" w:sz="4" w:space="0" w:color="auto"/>
              <w:bottom w:val="nil"/>
              <w:right w:val="nil"/>
            </w:tcBorders>
          </w:tcPr>
          <w:p w:rsidR="00A615C4" w:rsidRPr="005707F9" w:rsidRDefault="00B6242E"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B6242E"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tcBorders>
              <w:top w:val="single" w:sz="4" w:space="0" w:color="auto"/>
              <w:left w:val="nil"/>
              <w:bottom w:val="nil"/>
              <w:right w:val="single" w:sz="4" w:space="0" w:color="auto"/>
            </w:tcBorders>
          </w:tcPr>
          <w:p w:rsidR="00A615C4" w:rsidRDefault="00DF4352" w:rsidP="00DF4352">
            <w:pPr>
              <w:rPr>
                <w:sz w:val="24"/>
                <w:szCs w:val="24"/>
              </w:rPr>
            </w:pPr>
            <w:r>
              <w:rPr>
                <w:sz w:val="24"/>
                <w:szCs w:val="24"/>
              </w:rPr>
              <w:fldChar w:fldCharType="begin">
                <w:ffData>
                  <w:name w:val="Check3"/>
                  <w:enabled/>
                  <w:calcOnExit w:val="0"/>
                  <w:checkBox>
                    <w:sizeAuto/>
                    <w:default w:val="1"/>
                  </w:checkBox>
                </w:ffData>
              </w:fldChar>
            </w:r>
            <w:bookmarkStart w:id="5" w:name="Check3"/>
            <w:r>
              <w:rPr>
                <w:sz w:val="24"/>
                <w:szCs w:val="24"/>
              </w:rPr>
              <w:instrText xml:space="preserve"> FORMCHECKBOX </w:instrText>
            </w:r>
            <w:r>
              <w:rPr>
                <w:sz w:val="24"/>
                <w:szCs w:val="24"/>
              </w:rPr>
            </w:r>
            <w:r>
              <w:rPr>
                <w:sz w:val="24"/>
                <w:szCs w:val="24"/>
              </w:rPr>
              <w:fldChar w:fldCharType="end"/>
            </w:r>
            <w:bookmarkEnd w:id="5"/>
            <w:r w:rsidR="00A615C4">
              <w:rPr>
                <w:sz w:val="24"/>
                <w:szCs w:val="24"/>
              </w:rPr>
              <w:t xml:space="preserve"> </w:t>
            </w:r>
            <w:r w:rsidR="00A615C4" w:rsidRPr="005707F9">
              <w:rPr>
                <w:sz w:val="24"/>
                <w:szCs w:val="24"/>
              </w:rPr>
              <w:t>Not Met</w:t>
            </w:r>
          </w:p>
          <w:p w:rsidR="00A615C4" w:rsidRPr="005707F9" w:rsidRDefault="00A615C4" w:rsidP="000C3BC9">
            <w:pPr>
              <w:rPr>
                <w:sz w:val="24"/>
                <w:szCs w:val="24"/>
              </w:rPr>
            </w:pPr>
          </w:p>
        </w:tc>
        <w:tc>
          <w:tcPr>
            <w:tcW w:w="1980" w:type="dxa"/>
            <w:vMerge/>
            <w:tcBorders>
              <w:left w:val="single" w:sz="4" w:space="0" w:color="auto"/>
              <w:right w:val="single" w:sz="4" w:space="0" w:color="auto"/>
            </w:tcBorders>
          </w:tcPr>
          <w:p w:rsidR="00A615C4" w:rsidRDefault="00A615C4" w:rsidP="00D001FF">
            <w:pPr>
              <w:jc w:val="center"/>
              <w:rPr>
                <w:sz w:val="24"/>
                <w:szCs w:val="24"/>
              </w:rPr>
            </w:pPr>
          </w:p>
        </w:tc>
      </w:tr>
      <w:tr w:rsidR="00A615C4" w:rsidTr="00A615C4">
        <w:trPr>
          <w:trHeight w:val="683"/>
        </w:trPr>
        <w:tc>
          <w:tcPr>
            <w:tcW w:w="10458" w:type="dxa"/>
            <w:gridSpan w:val="4"/>
            <w:tcBorders>
              <w:top w:val="nil"/>
              <w:left w:val="single" w:sz="4" w:space="0" w:color="auto"/>
              <w:bottom w:val="single" w:sz="4" w:space="0" w:color="auto"/>
              <w:right w:val="single" w:sz="4" w:space="0" w:color="auto"/>
            </w:tcBorders>
          </w:tcPr>
          <w:p w:rsidR="00DF4352" w:rsidRDefault="00A615C4" w:rsidP="000C3BC9">
            <w:pPr>
              <w:rPr>
                <w:b/>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r w:rsidR="001276CD">
              <w:rPr>
                <w:b/>
                <w:sz w:val="24"/>
                <w:szCs w:val="24"/>
              </w:rPr>
              <w:t xml:space="preserve"> </w:t>
            </w:r>
            <w:r w:rsidR="00DF4352">
              <w:rPr>
                <w:b/>
                <w:sz w:val="24"/>
                <w:szCs w:val="24"/>
              </w:rPr>
              <w:t xml:space="preserve">  </w:t>
            </w:r>
          </w:p>
          <w:p w:rsidR="00A615C4" w:rsidRDefault="001276CD" w:rsidP="000C3BC9">
            <w:pPr>
              <w:rPr>
                <w:b/>
                <w:sz w:val="24"/>
                <w:szCs w:val="24"/>
              </w:rPr>
            </w:pPr>
            <w:r w:rsidRPr="00DF4352">
              <w:rPr>
                <w:bCs/>
                <w:sz w:val="24"/>
                <w:szCs w:val="24"/>
              </w:rPr>
              <w:t xml:space="preserve">Implementing Distance Education courses will help facilitate student learning in the ever-changing modern learning environment. </w:t>
            </w:r>
            <w:r w:rsidR="00DF4352">
              <w:rPr>
                <w:bCs/>
                <w:sz w:val="24"/>
                <w:szCs w:val="24"/>
              </w:rPr>
              <w:t xml:space="preserve"> Many students at IVC work part-time or full-</w:t>
            </w:r>
            <w:r w:rsidRPr="00DF4352">
              <w:rPr>
                <w:bCs/>
                <w:sz w:val="24"/>
                <w:szCs w:val="24"/>
              </w:rPr>
              <w:t>time</w:t>
            </w:r>
            <w:r w:rsidR="00DF4352">
              <w:rPr>
                <w:bCs/>
                <w:sz w:val="24"/>
                <w:szCs w:val="24"/>
              </w:rPr>
              <w:t>,</w:t>
            </w:r>
            <w:r w:rsidRPr="00DF4352">
              <w:rPr>
                <w:bCs/>
                <w:sz w:val="24"/>
                <w:szCs w:val="24"/>
              </w:rPr>
              <w:t xml:space="preserve"> and providing a new avenue to fulfill their academic goals will be served by furnishing the students with these courses.</w:t>
            </w:r>
            <w:r>
              <w:rPr>
                <w:b/>
                <w:sz w:val="24"/>
                <w:szCs w:val="24"/>
              </w:rPr>
              <w:t xml:space="preserve">     </w:t>
            </w:r>
          </w:p>
          <w:p w:rsidR="00A615C4" w:rsidRPr="005707F9" w:rsidRDefault="00A615C4" w:rsidP="009441D9">
            <w:pPr>
              <w:rPr>
                <w:sz w:val="24"/>
                <w:szCs w:val="24"/>
              </w:rPr>
            </w:pPr>
          </w:p>
        </w:tc>
        <w:tc>
          <w:tcPr>
            <w:tcW w:w="1980" w:type="dxa"/>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bl>
    <w:p w:rsidR="00C557F5" w:rsidRDefault="00C557F5">
      <w:pPr>
        <w:rPr>
          <w:sz w:val="24"/>
          <w:szCs w:val="24"/>
        </w:rPr>
      </w:pPr>
      <w:r>
        <w:rPr>
          <w:sz w:val="24"/>
          <w:szCs w:val="24"/>
        </w:rPr>
        <w:br w:type="page"/>
      </w:r>
    </w:p>
    <w:p w:rsidR="00C557F5" w:rsidRDefault="00C557F5" w:rsidP="00C557F5">
      <w:pPr>
        <w:ind w:left="900"/>
      </w:pPr>
    </w:p>
    <w:tbl>
      <w:tblPr>
        <w:tblStyle w:val="TableGrid"/>
        <w:tblW w:w="0" w:type="auto"/>
        <w:tblInd w:w="715" w:type="dxa"/>
        <w:tblLayout w:type="fixed"/>
        <w:tblLook w:val="04A0"/>
      </w:tblPr>
      <w:tblGrid>
        <w:gridCol w:w="1980"/>
        <w:gridCol w:w="1648"/>
        <w:gridCol w:w="3420"/>
        <w:gridCol w:w="3410"/>
        <w:gridCol w:w="10"/>
        <w:gridCol w:w="1970"/>
        <w:gridCol w:w="10"/>
      </w:tblGrid>
      <w:tr w:rsidR="00A615C4"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68" w:type="dxa"/>
            <w:gridSpan w:val="5"/>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r w:rsidR="00DF4352">
              <w:rPr>
                <w:b/>
                <w:sz w:val="24"/>
                <w:szCs w:val="24"/>
              </w:rPr>
              <w:t xml:space="preserve">  </w:t>
            </w:r>
            <w:r w:rsidR="001276CD">
              <w:rPr>
                <w:sz w:val="24"/>
              </w:rPr>
              <w:t xml:space="preserve">Philosophers Index  </w:t>
            </w:r>
          </w:p>
          <w:p w:rsidR="00A615C4" w:rsidRPr="00613585" w:rsidRDefault="00A615C4" w:rsidP="00980E0C">
            <w:pPr>
              <w:rPr>
                <w:b/>
                <w:sz w:val="24"/>
                <w:szCs w:val="24"/>
              </w:rPr>
            </w:pP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B6242E"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6242E">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1.4</w:t>
            </w:r>
          </w:p>
          <w:p w:rsidR="002E4353" w:rsidRPr="00FD66D9" w:rsidRDefault="00DF4352" w:rsidP="00DF4352">
            <w:pPr>
              <w:rPr>
                <w:b/>
                <w:sz w:val="24"/>
                <w:szCs w:val="24"/>
              </w:rPr>
            </w:pPr>
            <w:r>
              <w:rPr>
                <w:sz w:val="20"/>
                <w:szCs w:val="20"/>
              </w:rPr>
              <w:fldChar w:fldCharType="begin">
                <w:ffData>
                  <w:name w:val="Check6"/>
                  <w:enabled/>
                  <w:calcOnExit w:val="0"/>
                  <w:checkBox>
                    <w:sizeAuto/>
                    <w:default w:val="1"/>
                  </w:checkBox>
                </w:ffData>
              </w:fldChar>
            </w:r>
            <w:bookmarkStart w:id="6" w:name="Check6"/>
            <w:r>
              <w:rPr>
                <w:sz w:val="20"/>
                <w:szCs w:val="20"/>
              </w:rPr>
              <w:instrText xml:space="preserve"> FORMCHECKBOX </w:instrText>
            </w:r>
            <w:r>
              <w:rPr>
                <w:sz w:val="20"/>
                <w:szCs w:val="20"/>
              </w:rPr>
            </w:r>
            <w:r>
              <w:rPr>
                <w:sz w:val="20"/>
                <w:szCs w:val="20"/>
              </w:rPr>
              <w:fldChar w:fldCharType="end"/>
            </w:r>
            <w:bookmarkEnd w:id="6"/>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DF4352">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2.1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2.2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2.5</w:t>
            </w:r>
          </w:p>
          <w:p w:rsidR="002E4353" w:rsidRPr="001471B3" w:rsidRDefault="002E4353" w:rsidP="00DF4352">
            <w:pPr>
              <w:rPr>
                <w:sz w:val="20"/>
                <w:szCs w:val="20"/>
              </w:rPr>
            </w:pPr>
            <w:r w:rsidRPr="001471B3">
              <w:rPr>
                <w:sz w:val="20"/>
                <w:szCs w:val="20"/>
              </w:rPr>
              <w:t xml:space="preserve">     </w:t>
            </w:r>
            <w:r w:rsidR="00DF4352">
              <w:rPr>
                <w:sz w:val="20"/>
                <w:szCs w:val="20"/>
              </w:rPr>
              <w:fldChar w:fldCharType="begin">
                <w:ffData>
                  <w:name w:val=""/>
                  <w:enabled/>
                  <w:calcOnExit w:val="0"/>
                  <w:checkBox>
                    <w:sizeAuto/>
                    <w:default w:val="1"/>
                  </w:checkBox>
                </w:ffData>
              </w:fldChar>
            </w:r>
            <w:r w:rsidR="00DF4352">
              <w:rPr>
                <w:sz w:val="20"/>
                <w:szCs w:val="20"/>
              </w:rPr>
              <w:instrText xml:space="preserve"> FORMCHECKBOX </w:instrText>
            </w:r>
            <w:r w:rsidR="00DF4352">
              <w:rPr>
                <w:sz w:val="20"/>
                <w:szCs w:val="20"/>
              </w:rPr>
            </w:r>
            <w:r w:rsidR="00DF4352">
              <w:rPr>
                <w:sz w:val="20"/>
                <w:szCs w:val="20"/>
              </w:rPr>
              <w:fldChar w:fldCharType="end"/>
            </w:r>
            <w:r w:rsidRPr="001471B3">
              <w:rPr>
                <w:sz w:val="20"/>
                <w:szCs w:val="20"/>
              </w:rPr>
              <w:t xml:space="preserve"> 2.3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2.6</w:t>
            </w:r>
          </w:p>
          <w:p w:rsidR="002E4353" w:rsidRDefault="00B6242E"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3.1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3.2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3.3    </w:t>
            </w:r>
          </w:p>
          <w:p w:rsidR="002E4353" w:rsidRPr="00FD66D9" w:rsidRDefault="00B6242E"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separate"/>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4.1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4.2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sidR="00B6242E">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242E">
              <w:rPr>
                <w:sz w:val="20"/>
                <w:szCs w:val="20"/>
              </w:rPr>
            </w:r>
            <w:r w:rsidR="00B6242E">
              <w:rPr>
                <w:sz w:val="20"/>
                <w:szCs w:val="20"/>
              </w:rPr>
              <w:fldChar w:fldCharType="separate"/>
            </w:r>
            <w:r w:rsidR="00B6242E">
              <w:rPr>
                <w:sz w:val="20"/>
                <w:szCs w:val="20"/>
              </w:rPr>
              <w:fldChar w:fldCharType="end"/>
            </w:r>
            <w:r w:rsidRPr="001471B3">
              <w:rPr>
                <w:sz w:val="20"/>
                <w:szCs w:val="20"/>
              </w:rPr>
              <w:t xml:space="preserve"> 4.3</w:t>
            </w:r>
            <w:r w:rsidRPr="00C34C62">
              <w:t xml:space="preserve">    </w:t>
            </w:r>
          </w:p>
        </w:tc>
      </w:tr>
      <w:tr w:rsidR="00A615C4" w:rsidTr="00A615C4">
        <w:tc>
          <w:tcPr>
            <w:tcW w:w="3628" w:type="dxa"/>
            <w:gridSpan w:val="2"/>
            <w:tcBorders>
              <w:top w:val="single" w:sz="4" w:space="0" w:color="auto"/>
              <w:left w:val="single" w:sz="4" w:space="0" w:color="auto"/>
              <w:bottom w:val="nil"/>
              <w:right w:val="nil"/>
            </w:tcBorders>
          </w:tcPr>
          <w:p w:rsidR="00A615C4" w:rsidRPr="005707F9" w:rsidRDefault="00B6242E"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B6242E"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DF4352" w:rsidP="00DF435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68" w:type="dxa"/>
            <w:gridSpan w:val="5"/>
            <w:tcBorders>
              <w:top w:val="nil"/>
              <w:left w:val="single" w:sz="4" w:space="0" w:color="auto"/>
              <w:bottom w:val="single" w:sz="4" w:space="0" w:color="auto"/>
              <w:right w:val="single" w:sz="4" w:space="0" w:color="auto"/>
            </w:tcBorders>
          </w:tcPr>
          <w:p w:rsidR="00DF4352" w:rsidRDefault="00A615C4" w:rsidP="001276CD">
            <w:pPr>
              <w:pStyle w:val="TableGrid1"/>
              <w:rPr>
                <w:b/>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r w:rsidR="001276CD">
              <w:rPr>
                <w:b/>
                <w:sz w:val="24"/>
                <w:szCs w:val="24"/>
              </w:rPr>
              <w:t xml:space="preserve"> </w:t>
            </w:r>
          </w:p>
          <w:p w:rsidR="00DF4352" w:rsidRDefault="00DF4352" w:rsidP="001276CD">
            <w:pPr>
              <w:pStyle w:val="TableGrid1"/>
              <w:rPr>
                <w:b/>
                <w:sz w:val="24"/>
                <w:szCs w:val="24"/>
              </w:rPr>
            </w:pPr>
          </w:p>
          <w:p w:rsidR="001276CD" w:rsidRPr="00DF4352" w:rsidRDefault="001276CD" w:rsidP="001276CD">
            <w:pPr>
              <w:pStyle w:val="TableGrid1"/>
              <w:rPr>
                <w:rFonts w:asciiTheme="minorHAnsi" w:hAnsiTheme="minorHAnsi" w:cs="Lucida Grande"/>
                <w:sz w:val="24"/>
              </w:rPr>
            </w:pPr>
            <w:r w:rsidRPr="00DF4352">
              <w:rPr>
                <w:rFonts w:asciiTheme="minorHAnsi" w:hAnsiTheme="minorHAnsi"/>
                <w:sz w:val="24"/>
                <w:szCs w:val="24"/>
              </w:rPr>
              <w:t xml:space="preserve">The </w:t>
            </w:r>
            <w:r w:rsidRPr="00DF4352">
              <w:rPr>
                <w:rFonts w:asciiTheme="minorHAnsi" w:hAnsiTheme="minorHAnsi" w:cs="Lucida Grande"/>
                <w:sz w:val="24"/>
              </w:rPr>
              <w:t xml:space="preserve">Philosophers index is a rich data base </w:t>
            </w:r>
            <w:r w:rsidR="002C7DC4" w:rsidRPr="00DF4352">
              <w:rPr>
                <w:rFonts w:asciiTheme="minorHAnsi" w:hAnsiTheme="minorHAnsi" w:cs="Lucida Grande"/>
                <w:sz w:val="24"/>
              </w:rPr>
              <w:t xml:space="preserve">of almost every contemporary philosophical journal. This data base </w:t>
            </w:r>
            <w:r w:rsidRPr="00DF4352">
              <w:rPr>
                <w:rFonts w:asciiTheme="minorHAnsi" w:hAnsiTheme="minorHAnsi" w:cs="Lucida Grande"/>
                <w:sz w:val="24"/>
              </w:rPr>
              <w:t xml:space="preserve">will help students do research for term papers.  </w:t>
            </w:r>
          </w:p>
          <w:p w:rsidR="00A615C4" w:rsidRDefault="00A615C4" w:rsidP="00DD2F05">
            <w:pPr>
              <w:rPr>
                <w:sz w:val="24"/>
                <w:szCs w:val="24"/>
              </w:rPr>
            </w:pP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1C31AE" w:rsidRPr="00BD5E72" w:rsidRDefault="00C557F5" w:rsidP="00DF4352">
      <w:pPr>
        <w:ind w:left="1080" w:hanging="360"/>
        <w:rPr>
          <w:b/>
          <w:sz w:val="32"/>
          <w:szCs w:val="32"/>
        </w:rPr>
      </w:pPr>
      <w:r>
        <w:rPr>
          <w:sz w:val="24"/>
          <w:szCs w:val="24"/>
        </w:rPr>
        <w:br w:type="page"/>
      </w:r>
      <w:r w:rsidR="00DF4352">
        <w:rPr>
          <w:b/>
          <w:sz w:val="32"/>
          <w:szCs w:val="32"/>
        </w:rPr>
        <w:lastRenderedPageBreak/>
        <w:t>B.  P</w:t>
      </w:r>
      <w:r w:rsidR="001C31AE" w:rsidRPr="00BD5E72">
        <w:rPr>
          <w:b/>
          <w:sz w:val="32"/>
          <w:szCs w:val="32"/>
        </w:rPr>
        <w:t>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Pr="00555678" w:rsidRDefault="005E6467" w:rsidP="00A615C4">
      <w:pPr>
        <w:pStyle w:val="ListParagraph"/>
        <w:keepLines/>
        <w:spacing w:after="0" w:line="240" w:lineRule="auto"/>
        <w:ind w:left="1800"/>
        <w:rPr>
          <w:sz w:val="24"/>
          <w:szCs w:val="24"/>
        </w:rPr>
      </w:pPr>
    </w:p>
    <w:p w:rsidR="00C557F5" w:rsidRDefault="00161A6F" w:rsidP="00DF4352">
      <w:pPr>
        <w:pStyle w:val="ListParagraph"/>
        <w:keepLines/>
        <w:spacing w:after="0" w:line="240" w:lineRule="auto"/>
        <w:ind w:left="1800" w:right="720"/>
        <w:rPr>
          <w:sz w:val="24"/>
          <w:szCs w:val="24"/>
        </w:rPr>
      </w:pPr>
      <w:r w:rsidRPr="00161A6F">
        <w:rPr>
          <w:b/>
          <w:sz w:val="24"/>
          <w:szCs w:val="24"/>
        </w:rPr>
        <w:t>Philosophy:</w:t>
      </w:r>
      <w:r>
        <w:rPr>
          <w:sz w:val="24"/>
          <w:szCs w:val="24"/>
        </w:rPr>
        <w:t xml:space="preserve"> </w:t>
      </w:r>
      <w:r w:rsidR="00DF4352">
        <w:rPr>
          <w:sz w:val="24"/>
          <w:szCs w:val="24"/>
        </w:rPr>
        <w:t xml:space="preserve"> </w:t>
      </w:r>
      <w:r w:rsidR="002C7DC4">
        <w:rPr>
          <w:sz w:val="24"/>
          <w:szCs w:val="24"/>
        </w:rPr>
        <w:t>Enrollment figures</w:t>
      </w:r>
      <w:r w:rsidR="002C7DC4" w:rsidRPr="00FF414F">
        <w:rPr>
          <w:sz w:val="24"/>
          <w:szCs w:val="24"/>
        </w:rPr>
        <w:t xml:space="preserve"> from </w:t>
      </w:r>
      <w:r w:rsidR="00AA0C9C">
        <w:rPr>
          <w:sz w:val="24"/>
          <w:szCs w:val="24"/>
        </w:rPr>
        <w:t>F</w:t>
      </w:r>
      <w:r w:rsidR="002C7DC4">
        <w:rPr>
          <w:sz w:val="24"/>
          <w:szCs w:val="24"/>
        </w:rPr>
        <w:t>all 2011</w:t>
      </w:r>
      <w:r w:rsidR="002C7DC4" w:rsidRPr="00FF414F">
        <w:rPr>
          <w:sz w:val="24"/>
          <w:szCs w:val="24"/>
        </w:rPr>
        <w:t xml:space="preserve"> to </w:t>
      </w:r>
      <w:r w:rsidR="00AA0C9C">
        <w:rPr>
          <w:sz w:val="24"/>
          <w:szCs w:val="24"/>
        </w:rPr>
        <w:t>S</w:t>
      </w:r>
      <w:r w:rsidR="002C7DC4">
        <w:rPr>
          <w:sz w:val="24"/>
          <w:szCs w:val="24"/>
        </w:rPr>
        <w:t>pring 2012 went down by only one percent.</w:t>
      </w:r>
      <w:r w:rsidR="002C7DC4" w:rsidRPr="00FF414F">
        <w:rPr>
          <w:sz w:val="24"/>
          <w:szCs w:val="24"/>
        </w:rPr>
        <w:t xml:space="preserve"> </w:t>
      </w:r>
      <w:r w:rsidR="00DF4352">
        <w:rPr>
          <w:sz w:val="24"/>
          <w:szCs w:val="24"/>
        </w:rPr>
        <w:t xml:space="preserve"> </w:t>
      </w:r>
      <w:r w:rsidR="002C7DC4">
        <w:rPr>
          <w:sz w:val="24"/>
          <w:szCs w:val="24"/>
        </w:rPr>
        <w:t xml:space="preserve">The enrollment </w:t>
      </w:r>
      <w:r w:rsidR="00BA6DB6">
        <w:rPr>
          <w:sz w:val="24"/>
          <w:szCs w:val="24"/>
        </w:rPr>
        <w:t xml:space="preserve">increased in </w:t>
      </w:r>
      <w:r w:rsidR="00AA0C9C">
        <w:rPr>
          <w:sz w:val="24"/>
          <w:szCs w:val="24"/>
        </w:rPr>
        <w:t>F</w:t>
      </w:r>
      <w:r w:rsidR="00BA6DB6">
        <w:rPr>
          <w:sz w:val="24"/>
          <w:szCs w:val="24"/>
        </w:rPr>
        <w:t>all 2012 due to offering one more class</w:t>
      </w:r>
      <w:r w:rsidR="002C7DC4">
        <w:rPr>
          <w:sz w:val="24"/>
          <w:szCs w:val="24"/>
        </w:rPr>
        <w:t>.</w:t>
      </w:r>
      <w:r w:rsidR="00BA6DB6">
        <w:rPr>
          <w:sz w:val="24"/>
          <w:szCs w:val="24"/>
        </w:rPr>
        <w:t xml:space="preserve"> </w:t>
      </w:r>
      <w:r w:rsidR="00DF4352">
        <w:rPr>
          <w:sz w:val="24"/>
          <w:szCs w:val="24"/>
        </w:rPr>
        <w:t xml:space="preserve"> </w:t>
      </w:r>
      <w:r w:rsidR="00BA6DB6">
        <w:rPr>
          <w:sz w:val="24"/>
          <w:szCs w:val="24"/>
        </w:rPr>
        <w:t>Enrollment increased again</w:t>
      </w:r>
      <w:r w:rsidR="00AA0C9C">
        <w:rPr>
          <w:sz w:val="24"/>
          <w:szCs w:val="24"/>
        </w:rPr>
        <w:t xml:space="preserve"> in the S</w:t>
      </w:r>
      <w:r w:rsidR="00BA6DB6">
        <w:rPr>
          <w:sz w:val="24"/>
          <w:szCs w:val="24"/>
        </w:rPr>
        <w:t>pring of 2013</w:t>
      </w:r>
      <w:r w:rsidR="002C7DC4" w:rsidRPr="00FF414F">
        <w:rPr>
          <w:sz w:val="24"/>
          <w:szCs w:val="24"/>
        </w:rPr>
        <w:t>.</w:t>
      </w:r>
      <w:r w:rsidR="00BA6DB6">
        <w:rPr>
          <w:sz w:val="24"/>
          <w:szCs w:val="24"/>
        </w:rPr>
        <w:t xml:space="preserve"> </w:t>
      </w:r>
      <w:r w:rsidR="00DF4352">
        <w:rPr>
          <w:sz w:val="24"/>
          <w:szCs w:val="24"/>
        </w:rPr>
        <w:t xml:space="preserve"> </w:t>
      </w:r>
      <w:r w:rsidR="00BA6DB6">
        <w:rPr>
          <w:sz w:val="24"/>
          <w:szCs w:val="24"/>
        </w:rPr>
        <w:t xml:space="preserve">The </w:t>
      </w:r>
      <w:r w:rsidR="00AA0C9C">
        <w:rPr>
          <w:sz w:val="24"/>
          <w:szCs w:val="24"/>
        </w:rPr>
        <w:t>fill rate for S</w:t>
      </w:r>
      <w:r w:rsidR="00BA6DB6">
        <w:rPr>
          <w:sz w:val="24"/>
          <w:szCs w:val="24"/>
        </w:rPr>
        <w:t>pring 2013 was at ninety five percent.</w:t>
      </w:r>
      <w:r w:rsidR="00AA0C9C">
        <w:rPr>
          <w:sz w:val="24"/>
          <w:szCs w:val="24"/>
        </w:rPr>
        <w:t xml:space="preserve">  In the Fall of 2013 enrollment was lower</w:t>
      </w:r>
      <w:r w:rsidR="00BA6DB6">
        <w:rPr>
          <w:sz w:val="24"/>
          <w:szCs w:val="24"/>
        </w:rPr>
        <w:t xml:space="preserve"> by 44 students and the fill rate was down to sixty seven percent. </w:t>
      </w:r>
      <w:r w:rsidR="00DF4352">
        <w:rPr>
          <w:sz w:val="24"/>
          <w:szCs w:val="24"/>
        </w:rPr>
        <w:t xml:space="preserve"> </w:t>
      </w:r>
      <w:r w:rsidR="00203937">
        <w:rPr>
          <w:sz w:val="24"/>
          <w:szCs w:val="24"/>
        </w:rPr>
        <w:t>Everything</w:t>
      </w:r>
      <w:r w:rsidR="00AA0C9C">
        <w:rPr>
          <w:sz w:val="24"/>
          <w:szCs w:val="24"/>
        </w:rPr>
        <w:t xml:space="preserve"> in the S</w:t>
      </w:r>
      <w:r w:rsidR="00BA6DB6">
        <w:rPr>
          <w:sz w:val="24"/>
          <w:szCs w:val="24"/>
        </w:rPr>
        <w:t xml:space="preserve">pring </w:t>
      </w:r>
      <w:r w:rsidR="00203937">
        <w:rPr>
          <w:sz w:val="24"/>
          <w:szCs w:val="24"/>
        </w:rPr>
        <w:t>of 2014 went</w:t>
      </w:r>
      <w:r w:rsidR="00BA6DB6">
        <w:rPr>
          <w:sz w:val="24"/>
          <w:szCs w:val="24"/>
        </w:rPr>
        <w:t xml:space="preserve"> back to normal with a </w:t>
      </w:r>
      <w:r w:rsidR="00203937">
        <w:rPr>
          <w:sz w:val="24"/>
          <w:szCs w:val="24"/>
        </w:rPr>
        <w:t>fill</w:t>
      </w:r>
      <w:r w:rsidR="00BA6DB6">
        <w:rPr>
          <w:sz w:val="24"/>
          <w:szCs w:val="24"/>
        </w:rPr>
        <w:t xml:space="preserve"> rate of </w:t>
      </w:r>
      <w:r w:rsidR="00203937">
        <w:rPr>
          <w:sz w:val="24"/>
          <w:szCs w:val="24"/>
        </w:rPr>
        <w:t>ninety four percent</w:t>
      </w:r>
      <w:r w:rsidR="00BA6DB6">
        <w:rPr>
          <w:sz w:val="24"/>
          <w:szCs w:val="24"/>
        </w:rPr>
        <w:t xml:space="preserve"> </w:t>
      </w:r>
      <w:r w:rsidR="00203937">
        <w:rPr>
          <w:sz w:val="24"/>
          <w:szCs w:val="24"/>
        </w:rPr>
        <w:t>and enrol</w:t>
      </w:r>
      <w:r w:rsidR="00AA0C9C">
        <w:rPr>
          <w:sz w:val="24"/>
          <w:szCs w:val="24"/>
        </w:rPr>
        <w:t>l</w:t>
      </w:r>
      <w:r w:rsidR="00203937">
        <w:rPr>
          <w:sz w:val="24"/>
          <w:szCs w:val="24"/>
        </w:rPr>
        <w:t xml:space="preserve">ment increasing. </w:t>
      </w:r>
    </w:p>
    <w:p w:rsidR="00161A6F" w:rsidRPr="00161A6F" w:rsidRDefault="00161A6F" w:rsidP="00A615C4">
      <w:pPr>
        <w:pStyle w:val="ListParagraph"/>
        <w:keepLines/>
        <w:spacing w:after="0" w:line="240" w:lineRule="auto"/>
        <w:ind w:left="1800"/>
        <w:rPr>
          <w:b/>
          <w:sz w:val="24"/>
          <w:szCs w:val="24"/>
        </w:rPr>
      </w:pPr>
    </w:p>
    <w:p w:rsidR="00161A6F" w:rsidRPr="00161A6F" w:rsidRDefault="00161A6F" w:rsidP="00DF4352">
      <w:pPr>
        <w:pStyle w:val="ListParagraph"/>
        <w:keepLines/>
        <w:spacing w:after="0" w:line="240" w:lineRule="auto"/>
        <w:ind w:left="1800" w:right="720"/>
        <w:rPr>
          <w:sz w:val="24"/>
          <w:szCs w:val="24"/>
        </w:rPr>
      </w:pPr>
      <w:r w:rsidRPr="00161A6F">
        <w:rPr>
          <w:b/>
          <w:sz w:val="24"/>
          <w:szCs w:val="24"/>
        </w:rPr>
        <w:t>Religious Studies:</w:t>
      </w:r>
      <w:r>
        <w:rPr>
          <w:b/>
          <w:sz w:val="24"/>
          <w:szCs w:val="24"/>
        </w:rPr>
        <w:t xml:space="preserve"> </w:t>
      </w:r>
      <w:r w:rsidR="00DF4352">
        <w:rPr>
          <w:b/>
          <w:sz w:val="24"/>
          <w:szCs w:val="24"/>
        </w:rPr>
        <w:t xml:space="preserve"> </w:t>
      </w:r>
      <w:r>
        <w:rPr>
          <w:sz w:val="24"/>
          <w:szCs w:val="24"/>
        </w:rPr>
        <w:t>Enrollment for religious studies</w:t>
      </w:r>
      <w:r w:rsidR="00DF4352">
        <w:rPr>
          <w:sz w:val="24"/>
          <w:szCs w:val="24"/>
        </w:rPr>
        <w:t xml:space="preserve"> from F</w:t>
      </w:r>
      <w:r w:rsidR="00AA0C9C">
        <w:rPr>
          <w:sz w:val="24"/>
          <w:szCs w:val="24"/>
        </w:rPr>
        <w:t>all 2011 to S</w:t>
      </w:r>
      <w:r>
        <w:rPr>
          <w:sz w:val="24"/>
          <w:szCs w:val="24"/>
        </w:rPr>
        <w:t>pring 2012 increased from seventy percent to ninety percent.</w:t>
      </w:r>
      <w:r w:rsidR="00DF4352">
        <w:rPr>
          <w:sz w:val="24"/>
          <w:szCs w:val="24"/>
        </w:rPr>
        <w:t xml:space="preserve"> </w:t>
      </w:r>
      <w:r>
        <w:rPr>
          <w:sz w:val="24"/>
          <w:szCs w:val="24"/>
        </w:rPr>
        <w:t xml:space="preserve"> There were not any religious </w:t>
      </w:r>
      <w:r w:rsidR="00AA0C9C">
        <w:rPr>
          <w:sz w:val="24"/>
          <w:szCs w:val="24"/>
        </w:rPr>
        <w:t>studies courses offered in the F</w:t>
      </w:r>
      <w:r>
        <w:rPr>
          <w:sz w:val="24"/>
          <w:szCs w:val="24"/>
        </w:rPr>
        <w:t>all o</w:t>
      </w:r>
      <w:r w:rsidR="00AA0C9C">
        <w:rPr>
          <w:sz w:val="24"/>
          <w:szCs w:val="24"/>
        </w:rPr>
        <w:t>f 2012</w:t>
      </w:r>
      <w:r w:rsidR="00DF4352">
        <w:rPr>
          <w:sz w:val="24"/>
          <w:szCs w:val="24"/>
        </w:rPr>
        <w:t>,</w:t>
      </w:r>
      <w:r w:rsidR="00AA0C9C">
        <w:rPr>
          <w:sz w:val="24"/>
          <w:szCs w:val="24"/>
        </w:rPr>
        <w:t xml:space="preserve"> but they resumed in the S</w:t>
      </w:r>
      <w:r>
        <w:rPr>
          <w:sz w:val="24"/>
          <w:szCs w:val="24"/>
        </w:rPr>
        <w:t xml:space="preserve">pring of 2012. </w:t>
      </w:r>
      <w:r w:rsidR="00DF4352">
        <w:rPr>
          <w:sz w:val="24"/>
          <w:szCs w:val="24"/>
        </w:rPr>
        <w:t xml:space="preserve"> </w:t>
      </w:r>
      <w:r>
        <w:rPr>
          <w:sz w:val="24"/>
          <w:szCs w:val="24"/>
        </w:rPr>
        <w:t>Enrollment has increased every semester</w:t>
      </w:r>
      <w:r w:rsidR="00AA0C9C">
        <w:rPr>
          <w:sz w:val="24"/>
          <w:szCs w:val="24"/>
        </w:rPr>
        <w:t xml:space="preserve"> topping out at 103% in the S</w:t>
      </w:r>
      <w:r>
        <w:rPr>
          <w:sz w:val="24"/>
          <w:szCs w:val="24"/>
        </w:rPr>
        <w:t xml:space="preserve">pring of 2014. </w:t>
      </w:r>
    </w:p>
    <w:p w:rsidR="001471B3" w:rsidRPr="00063F23" w:rsidRDefault="001471B3" w:rsidP="00C557F5">
      <w:pPr>
        <w:spacing w:after="0" w:line="240" w:lineRule="auto"/>
        <w:ind w:left="180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t>Productivity</w:t>
      </w:r>
    </w:p>
    <w:p w:rsidR="0023193A" w:rsidRPr="00063F23"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110022" w:rsidRDefault="00110022" w:rsidP="00A615C4">
      <w:pPr>
        <w:pStyle w:val="ListParagraph"/>
        <w:keepLines/>
        <w:spacing w:after="0" w:line="240" w:lineRule="auto"/>
        <w:ind w:left="1800"/>
        <w:rPr>
          <w:rFonts w:ascii="Bernard MT Condensed" w:hAnsi="Bernard MT Condensed"/>
          <w:b/>
          <w:sz w:val="28"/>
          <w:szCs w:val="28"/>
        </w:rPr>
      </w:pPr>
    </w:p>
    <w:p w:rsidR="00543F36" w:rsidRPr="008060FF" w:rsidRDefault="00970731" w:rsidP="00DF4352">
      <w:pPr>
        <w:pStyle w:val="ListParagraph"/>
        <w:keepLines/>
        <w:spacing w:after="0" w:line="240" w:lineRule="auto"/>
        <w:ind w:left="1800" w:right="720"/>
        <w:rPr>
          <w:rFonts w:ascii="Bernard MT Condensed" w:hAnsi="Bernard MT Condensed"/>
          <w:b/>
          <w:sz w:val="28"/>
          <w:szCs w:val="28"/>
        </w:rPr>
      </w:pPr>
      <w:r w:rsidRPr="00970731">
        <w:rPr>
          <w:b/>
          <w:sz w:val="24"/>
          <w:szCs w:val="24"/>
        </w:rPr>
        <w:t>Philosophy:</w:t>
      </w:r>
      <w:r>
        <w:rPr>
          <w:sz w:val="24"/>
          <w:szCs w:val="24"/>
        </w:rPr>
        <w:t xml:space="preserve"> </w:t>
      </w:r>
      <w:r w:rsidR="00DF4352">
        <w:rPr>
          <w:sz w:val="24"/>
          <w:szCs w:val="24"/>
        </w:rPr>
        <w:t xml:space="preserve"> </w:t>
      </w:r>
      <w:r w:rsidR="00543F36" w:rsidRPr="00FF414F">
        <w:rPr>
          <w:sz w:val="24"/>
          <w:szCs w:val="24"/>
        </w:rPr>
        <w:t xml:space="preserve">Productivity has been at a </w:t>
      </w:r>
      <w:r>
        <w:rPr>
          <w:sz w:val="24"/>
          <w:szCs w:val="24"/>
        </w:rPr>
        <w:t xml:space="preserve">small but </w:t>
      </w:r>
      <w:r w:rsidR="00543F36" w:rsidRPr="00FF414F">
        <w:rPr>
          <w:sz w:val="24"/>
          <w:szCs w:val="24"/>
        </w:rPr>
        <w:t>steady climb</w:t>
      </w:r>
      <w:r>
        <w:rPr>
          <w:sz w:val="24"/>
          <w:szCs w:val="24"/>
        </w:rPr>
        <w:t xml:space="preserve"> starting </w:t>
      </w:r>
      <w:r w:rsidR="00AA0C9C">
        <w:rPr>
          <w:sz w:val="24"/>
          <w:szCs w:val="24"/>
        </w:rPr>
        <w:t>at 527 in the F</w:t>
      </w:r>
      <w:r>
        <w:rPr>
          <w:sz w:val="24"/>
          <w:szCs w:val="24"/>
        </w:rPr>
        <w:t xml:space="preserve">all of 2011 and ending at 534 in </w:t>
      </w:r>
      <w:r w:rsidR="00AA0C9C">
        <w:rPr>
          <w:sz w:val="24"/>
          <w:szCs w:val="24"/>
        </w:rPr>
        <w:t>the S</w:t>
      </w:r>
      <w:r>
        <w:rPr>
          <w:sz w:val="24"/>
          <w:szCs w:val="24"/>
        </w:rPr>
        <w:t>pring of 2014</w:t>
      </w:r>
      <w:r w:rsidR="00543F36" w:rsidRPr="00FF414F">
        <w:rPr>
          <w:sz w:val="24"/>
          <w:szCs w:val="24"/>
        </w:rPr>
        <w:t xml:space="preserve">. </w:t>
      </w:r>
      <w:r w:rsidR="00DF4352">
        <w:rPr>
          <w:sz w:val="24"/>
          <w:szCs w:val="24"/>
        </w:rPr>
        <w:t xml:space="preserve"> </w:t>
      </w:r>
      <w:r w:rsidR="00543F36" w:rsidRPr="00FF414F">
        <w:rPr>
          <w:sz w:val="24"/>
          <w:szCs w:val="24"/>
        </w:rPr>
        <w:t xml:space="preserve">This is partially due to the number of </w:t>
      </w:r>
      <w:r w:rsidR="00543F36">
        <w:rPr>
          <w:sz w:val="24"/>
          <w:szCs w:val="24"/>
        </w:rPr>
        <w:t>sections being reduced from eight</w:t>
      </w:r>
      <w:r w:rsidR="00543F36" w:rsidRPr="00FF414F">
        <w:rPr>
          <w:sz w:val="24"/>
          <w:szCs w:val="24"/>
        </w:rPr>
        <w:t xml:space="preserve"> in </w:t>
      </w:r>
      <w:r w:rsidR="00543F36">
        <w:rPr>
          <w:sz w:val="24"/>
          <w:szCs w:val="24"/>
        </w:rPr>
        <w:t>2011 to five in 2013</w:t>
      </w:r>
      <w:r w:rsidR="00543F36" w:rsidRPr="00FF414F">
        <w:rPr>
          <w:sz w:val="24"/>
          <w:szCs w:val="24"/>
        </w:rPr>
        <w:t xml:space="preserve">. </w:t>
      </w:r>
      <w:r w:rsidR="00DF4352">
        <w:rPr>
          <w:sz w:val="24"/>
          <w:szCs w:val="24"/>
        </w:rPr>
        <w:t xml:space="preserve"> </w:t>
      </w:r>
      <w:r w:rsidR="00543F36" w:rsidRPr="00FF414F">
        <w:rPr>
          <w:sz w:val="24"/>
          <w:szCs w:val="24"/>
        </w:rPr>
        <w:t xml:space="preserve">The main factor to productivity being so high is that most Philosophy courses have a high cap and they stay close to that cap for most of the semester. </w:t>
      </w:r>
      <w:r w:rsidR="00DF4352">
        <w:rPr>
          <w:sz w:val="24"/>
          <w:szCs w:val="24"/>
        </w:rPr>
        <w:t xml:space="preserve"> </w:t>
      </w:r>
      <w:r w:rsidR="00543F36" w:rsidRPr="00FF414F">
        <w:rPr>
          <w:sz w:val="24"/>
          <w:szCs w:val="24"/>
        </w:rPr>
        <w:t xml:space="preserve">The productivity should stay close </w:t>
      </w:r>
      <w:r w:rsidR="00543F36">
        <w:rPr>
          <w:sz w:val="24"/>
          <w:szCs w:val="24"/>
        </w:rPr>
        <w:t>to what it has been (in the mid</w:t>
      </w:r>
      <w:r w:rsidR="00543F36" w:rsidRPr="00FF414F">
        <w:rPr>
          <w:sz w:val="24"/>
          <w:szCs w:val="24"/>
        </w:rPr>
        <w:t xml:space="preserve"> five hundreds</w:t>
      </w:r>
      <w:r w:rsidR="00DF4352">
        <w:rPr>
          <w:sz w:val="24"/>
          <w:szCs w:val="24"/>
        </w:rPr>
        <w:t>) and may</w:t>
      </w:r>
      <w:r w:rsidR="00543F36">
        <w:rPr>
          <w:sz w:val="24"/>
          <w:szCs w:val="24"/>
        </w:rPr>
        <w:t xml:space="preserve"> increase if online classes resume</w:t>
      </w:r>
      <w:r w:rsidR="00543F36" w:rsidRPr="00FF414F">
        <w:rPr>
          <w:sz w:val="24"/>
          <w:szCs w:val="24"/>
        </w:rPr>
        <w:t xml:space="preserve">.          </w:t>
      </w:r>
    </w:p>
    <w:p w:rsidR="001471B3" w:rsidRDefault="001471B3" w:rsidP="00110022">
      <w:pPr>
        <w:pStyle w:val="ListParagraph"/>
        <w:spacing w:after="0" w:line="240" w:lineRule="auto"/>
        <w:ind w:left="1800"/>
        <w:rPr>
          <w:b/>
          <w:sz w:val="28"/>
          <w:szCs w:val="28"/>
        </w:rPr>
      </w:pPr>
    </w:p>
    <w:p w:rsidR="00970731" w:rsidRPr="00970731" w:rsidRDefault="00970731" w:rsidP="00110022">
      <w:pPr>
        <w:pStyle w:val="ListParagraph"/>
        <w:spacing w:after="0" w:line="240" w:lineRule="auto"/>
        <w:ind w:left="1800"/>
        <w:rPr>
          <w:sz w:val="24"/>
          <w:szCs w:val="24"/>
        </w:rPr>
      </w:pPr>
      <w:r w:rsidRPr="00970731">
        <w:rPr>
          <w:b/>
          <w:sz w:val="24"/>
          <w:szCs w:val="24"/>
        </w:rPr>
        <w:t>Religious Studies:</w:t>
      </w:r>
      <w:r>
        <w:rPr>
          <w:b/>
          <w:sz w:val="24"/>
          <w:szCs w:val="24"/>
        </w:rPr>
        <w:t xml:space="preserve"> </w:t>
      </w:r>
      <w:r w:rsidR="00DF4352">
        <w:rPr>
          <w:b/>
          <w:sz w:val="24"/>
          <w:szCs w:val="24"/>
        </w:rPr>
        <w:t xml:space="preserve"> </w:t>
      </w:r>
      <w:r>
        <w:rPr>
          <w:sz w:val="24"/>
          <w:szCs w:val="24"/>
        </w:rPr>
        <w:t>Productivity increased from</w:t>
      </w:r>
      <w:r w:rsidR="00AA0C9C">
        <w:rPr>
          <w:sz w:val="24"/>
          <w:szCs w:val="24"/>
        </w:rPr>
        <w:t xml:space="preserve"> the F</w:t>
      </w:r>
      <w:r>
        <w:rPr>
          <w:sz w:val="24"/>
          <w:szCs w:val="24"/>
        </w:rPr>
        <w:t>all of 2011</w:t>
      </w:r>
      <w:r w:rsidR="00AA0C9C">
        <w:rPr>
          <w:sz w:val="24"/>
          <w:szCs w:val="24"/>
        </w:rPr>
        <w:t xml:space="preserve"> to the S</w:t>
      </w:r>
      <w:r>
        <w:rPr>
          <w:sz w:val="24"/>
          <w:szCs w:val="24"/>
        </w:rPr>
        <w:t xml:space="preserve">pring of 2012 by sixty points. </w:t>
      </w:r>
      <w:r w:rsidR="00DF4352">
        <w:rPr>
          <w:sz w:val="24"/>
          <w:szCs w:val="24"/>
        </w:rPr>
        <w:t xml:space="preserve"> </w:t>
      </w:r>
      <w:r>
        <w:rPr>
          <w:sz w:val="24"/>
          <w:szCs w:val="24"/>
        </w:rPr>
        <w:t>It went down</w:t>
      </w:r>
      <w:r w:rsidR="00AA0C9C">
        <w:rPr>
          <w:sz w:val="24"/>
          <w:szCs w:val="24"/>
        </w:rPr>
        <w:t xml:space="preserve"> in the S</w:t>
      </w:r>
      <w:r>
        <w:rPr>
          <w:sz w:val="24"/>
          <w:szCs w:val="24"/>
        </w:rPr>
        <w:t xml:space="preserve">pring but this was due to offering </w:t>
      </w:r>
      <w:r w:rsidR="00AA0C9C">
        <w:rPr>
          <w:sz w:val="24"/>
          <w:szCs w:val="24"/>
        </w:rPr>
        <w:t xml:space="preserve">one less course. </w:t>
      </w:r>
      <w:r w:rsidR="00DF4352">
        <w:rPr>
          <w:sz w:val="24"/>
          <w:szCs w:val="24"/>
        </w:rPr>
        <w:t xml:space="preserve"> </w:t>
      </w:r>
      <w:r w:rsidR="00AA0C9C">
        <w:rPr>
          <w:sz w:val="24"/>
          <w:szCs w:val="24"/>
        </w:rPr>
        <w:t>In the F</w:t>
      </w:r>
      <w:r>
        <w:rPr>
          <w:sz w:val="24"/>
          <w:szCs w:val="24"/>
        </w:rPr>
        <w:t>all of 2013 it was up to 555 and increa</w:t>
      </w:r>
      <w:r w:rsidR="00AA0C9C">
        <w:rPr>
          <w:sz w:val="24"/>
          <w:szCs w:val="24"/>
        </w:rPr>
        <w:t>sed to 615 in the S</w:t>
      </w:r>
      <w:r>
        <w:rPr>
          <w:sz w:val="24"/>
          <w:szCs w:val="24"/>
        </w:rPr>
        <w:t xml:space="preserve">pring of 2014.  </w:t>
      </w:r>
    </w:p>
    <w:p w:rsidR="00970731" w:rsidRPr="00CA3D02" w:rsidRDefault="00970731" w:rsidP="00110022">
      <w:pPr>
        <w:pStyle w:val="ListParagraph"/>
        <w:spacing w:after="0" w:line="240" w:lineRule="auto"/>
        <w:ind w:left="1800"/>
        <w:rPr>
          <w:b/>
          <w:sz w:val="28"/>
          <w:szCs w:val="28"/>
        </w:rPr>
      </w:pPr>
    </w:p>
    <w:p w:rsidR="00DC09C6" w:rsidRPr="00DC09C6" w:rsidRDefault="00063F23" w:rsidP="00A615C4">
      <w:pPr>
        <w:pStyle w:val="ListParagraph"/>
        <w:keepLines/>
        <w:numPr>
          <w:ilvl w:val="0"/>
          <w:numId w:val="8"/>
        </w:numPr>
        <w:rPr>
          <w:b/>
          <w:sz w:val="24"/>
          <w:u w:val="single"/>
        </w:rPr>
      </w:pPr>
      <w:r>
        <w:rPr>
          <w:b/>
          <w:sz w:val="24"/>
          <w:u w:val="single"/>
        </w:rPr>
        <w:lastRenderedPageBreak/>
        <w:t>Success and</w:t>
      </w:r>
      <w:r w:rsidR="00DC09C6" w:rsidRPr="00DC09C6">
        <w:rPr>
          <w:b/>
          <w:sz w:val="24"/>
          <w:u w:val="single"/>
        </w:rPr>
        <w:t xml:space="preserve"> Retention</w:t>
      </w:r>
    </w:p>
    <w:p w:rsidR="0023193A" w:rsidRPr="00063F23" w:rsidRDefault="00063F23" w:rsidP="00DF4352">
      <w:pPr>
        <w:pStyle w:val="ListParagraph"/>
        <w:keepLines/>
        <w:tabs>
          <w:tab w:val="left" w:pos="13680"/>
        </w:tab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23193A" w:rsidRPr="00970731" w:rsidRDefault="0023193A" w:rsidP="00A615C4">
      <w:pPr>
        <w:pStyle w:val="ListParagraph"/>
        <w:keepLines/>
        <w:spacing w:after="0" w:line="240" w:lineRule="auto"/>
        <w:ind w:left="1800"/>
        <w:rPr>
          <w:b/>
          <w:sz w:val="24"/>
          <w:szCs w:val="24"/>
        </w:rPr>
      </w:pPr>
    </w:p>
    <w:p w:rsidR="00DD7454" w:rsidRDefault="00970731" w:rsidP="00DF4352">
      <w:pPr>
        <w:keepLines/>
        <w:spacing w:after="0" w:line="240" w:lineRule="auto"/>
        <w:ind w:left="1800" w:right="720"/>
        <w:rPr>
          <w:sz w:val="24"/>
          <w:szCs w:val="24"/>
        </w:rPr>
      </w:pPr>
      <w:r w:rsidRPr="00970731">
        <w:rPr>
          <w:b/>
          <w:sz w:val="24"/>
          <w:szCs w:val="24"/>
        </w:rPr>
        <w:t>Philosophy:</w:t>
      </w:r>
      <w:r>
        <w:rPr>
          <w:sz w:val="24"/>
          <w:szCs w:val="24"/>
        </w:rPr>
        <w:t xml:space="preserve"> </w:t>
      </w:r>
      <w:r w:rsidR="00DF4352">
        <w:rPr>
          <w:sz w:val="24"/>
          <w:szCs w:val="24"/>
        </w:rPr>
        <w:t xml:space="preserve"> </w:t>
      </w:r>
      <w:r w:rsidR="00DD7454" w:rsidRPr="00DD7454">
        <w:rPr>
          <w:sz w:val="24"/>
          <w:szCs w:val="24"/>
        </w:rPr>
        <w:t>The success rate for Philosophy has been on a steady increase from 2008 to 2013</w:t>
      </w:r>
      <w:r w:rsidR="00CD2EEA">
        <w:rPr>
          <w:sz w:val="24"/>
          <w:szCs w:val="24"/>
        </w:rPr>
        <w:t xml:space="preserve"> increasing from forty percent to sixty percent. </w:t>
      </w:r>
      <w:r w:rsidR="00DF4352">
        <w:rPr>
          <w:sz w:val="24"/>
          <w:szCs w:val="24"/>
        </w:rPr>
        <w:t xml:space="preserve"> </w:t>
      </w:r>
      <w:r w:rsidR="00DD7454">
        <w:rPr>
          <w:sz w:val="24"/>
          <w:szCs w:val="24"/>
        </w:rPr>
        <w:t xml:space="preserve">The success </w:t>
      </w:r>
      <w:r w:rsidR="00AA0C9C">
        <w:rPr>
          <w:sz w:val="24"/>
          <w:szCs w:val="24"/>
        </w:rPr>
        <w:t>rates have lowered in the Spring 2013 to F</w:t>
      </w:r>
      <w:r w:rsidR="00CD2EEA">
        <w:rPr>
          <w:sz w:val="24"/>
          <w:szCs w:val="24"/>
        </w:rPr>
        <w:t xml:space="preserve">all 2013 by nine percentage </w:t>
      </w:r>
      <w:r w:rsidR="00AA0C9C">
        <w:rPr>
          <w:sz w:val="24"/>
          <w:szCs w:val="24"/>
        </w:rPr>
        <w:t>points but were back up in the S</w:t>
      </w:r>
      <w:r w:rsidR="00CD2EEA">
        <w:rPr>
          <w:sz w:val="24"/>
          <w:szCs w:val="24"/>
        </w:rPr>
        <w:t>pring of 2014.</w:t>
      </w:r>
      <w:r w:rsidR="00DF4352">
        <w:rPr>
          <w:sz w:val="24"/>
          <w:szCs w:val="24"/>
        </w:rPr>
        <w:t xml:space="preserve"> </w:t>
      </w:r>
      <w:r w:rsidR="00DD7454" w:rsidRPr="00DD7454">
        <w:rPr>
          <w:sz w:val="24"/>
          <w:szCs w:val="24"/>
        </w:rPr>
        <w:t xml:space="preserve"> This is a very positive sign for philosophy courses. </w:t>
      </w:r>
      <w:r w:rsidR="00DF4352">
        <w:rPr>
          <w:sz w:val="24"/>
          <w:szCs w:val="24"/>
        </w:rPr>
        <w:t xml:space="preserve"> </w:t>
      </w:r>
      <w:r w:rsidR="00DD7454" w:rsidRPr="00DD7454">
        <w:rPr>
          <w:sz w:val="24"/>
          <w:szCs w:val="24"/>
        </w:rPr>
        <w:t>Some new techniques that have been implemented seem to be working.</w:t>
      </w:r>
      <w:r w:rsidR="00DF4352">
        <w:rPr>
          <w:sz w:val="24"/>
          <w:szCs w:val="24"/>
        </w:rPr>
        <w:t xml:space="preserve"> </w:t>
      </w:r>
      <w:r w:rsidR="00DD7454" w:rsidRPr="00DD7454">
        <w:rPr>
          <w:sz w:val="24"/>
          <w:szCs w:val="24"/>
        </w:rPr>
        <w:t xml:space="preserve"> </w:t>
      </w:r>
      <w:r w:rsidR="00AA0C9C">
        <w:rPr>
          <w:sz w:val="24"/>
          <w:szCs w:val="24"/>
        </w:rPr>
        <w:t>In all of the courses there is g</w:t>
      </w:r>
      <w:r w:rsidR="00DD7454" w:rsidRPr="00DD7454">
        <w:rPr>
          <w:sz w:val="24"/>
          <w:szCs w:val="24"/>
        </w:rPr>
        <w:t xml:space="preserve">roup work and Hollywood movies accompanied by homework and class discussion sessions </w:t>
      </w:r>
      <w:r w:rsidR="00DF4352">
        <w:rPr>
          <w:sz w:val="24"/>
          <w:szCs w:val="24"/>
        </w:rPr>
        <w:t xml:space="preserve">to which </w:t>
      </w:r>
      <w:r w:rsidR="00DD7454" w:rsidRPr="00DD7454">
        <w:rPr>
          <w:sz w:val="24"/>
          <w:szCs w:val="24"/>
        </w:rPr>
        <w:t>the students have responded we</w:t>
      </w:r>
      <w:r w:rsidR="00CD2EEA">
        <w:rPr>
          <w:sz w:val="24"/>
          <w:szCs w:val="24"/>
        </w:rPr>
        <w:t xml:space="preserve">ll. </w:t>
      </w:r>
      <w:r w:rsidR="00DF4352">
        <w:rPr>
          <w:sz w:val="24"/>
          <w:szCs w:val="24"/>
        </w:rPr>
        <w:t xml:space="preserve"> </w:t>
      </w:r>
      <w:r w:rsidR="00CD2EEA">
        <w:rPr>
          <w:sz w:val="24"/>
          <w:szCs w:val="24"/>
        </w:rPr>
        <w:t xml:space="preserve">Retention rates have decreased </w:t>
      </w:r>
      <w:r w:rsidR="00DD7454" w:rsidRPr="00DD7454">
        <w:rPr>
          <w:sz w:val="24"/>
          <w:szCs w:val="24"/>
        </w:rPr>
        <w:t>slightly within the last three years.</w:t>
      </w:r>
      <w:r w:rsidR="00AA0C9C">
        <w:rPr>
          <w:sz w:val="24"/>
          <w:szCs w:val="24"/>
        </w:rPr>
        <w:t xml:space="preserve"> </w:t>
      </w:r>
      <w:r w:rsidR="00DF4352">
        <w:rPr>
          <w:sz w:val="24"/>
          <w:szCs w:val="24"/>
        </w:rPr>
        <w:t xml:space="preserve"> </w:t>
      </w:r>
      <w:r w:rsidR="00AA0C9C">
        <w:rPr>
          <w:sz w:val="24"/>
          <w:szCs w:val="24"/>
        </w:rPr>
        <w:t>They moved from 85% in the Spring of 2012 to 81% in the S</w:t>
      </w:r>
      <w:r w:rsidR="00CD2EEA">
        <w:rPr>
          <w:sz w:val="24"/>
          <w:szCs w:val="24"/>
        </w:rPr>
        <w:t>pring of 2014.</w:t>
      </w:r>
      <w:r w:rsidR="00DD7454" w:rsidRPr="00DD7454">
        <w:rPr>
          <w:sz w:val="24"/>
          <w:szCs w:val="24"/>
        </w:rPr>
        <w:t xml:space="preserve"> </w:t>
      </w:r>
    </w:p>
    <w:p w:rsidR="00970731" w:rsidRPr="00970731" w:rsidRDefault="00970731" w:rsidP="00DD7454">
      <w:pPr>
        <w:keepLines/>
        <w:spacing w:after="0" w:line="240" w:lineRule="auto"/>
        <w:rPr>
          <w:b/>
          <w:sz w:val="24"/>
          <w:szCs w:val="24"/>
        </w:rPr>
      </w:pPr>
    </w:p>
    <w:p w:rsidR="001471B3" w:rsidRDefault="00970731" w:rsidP="00DF4352">
      <w:pPr>
        <w:keepLines/>
        <w:spacing w:after="0" w:line="240" w:lineRule="auto"/>
        <w:ind w:left="1800" w:right="720"/>
        <w:rPr>
          <w:sz w:val="24"/>
          <w:szCs w:val="24"/>
        </w:rPr>
      </w:pPr>
      <w:r w:rsidRPr="00970731">
        <w:rPr>
          <w:b/>
          <w:sz w:val="24"/>
          <w:szCs w:val="24"/>
        </w:rPr>
        <w:t>Religious Studies:</w:t>
      </w:r>
      <w:r>
        <w:rPr>
          <w:b/>
          <w:sz w:val="24"/>
          <w:szCs w:val="24"/>
        </w:rPr>
        <w:t xml:space="preserve"> </w:t>
      </w:r>
      <w:r w:rsidR="00DF4352">
        <w:rPr>
          <w:b/>
          <w:sz w:val="24"/>
          <w:szCs w:val="24"/>
        </w:rPr>
        <w:t xml:space="preserve"> </w:t>
      </w:r>
      <w:r w:rsidR="00222E0B">
        <w:rPr>
          <w:sz w:val="24"/>
          <w:szCs w:val="24"/>
        </w:rPr>
        <w:t>The success rate was at forty one percent for day classes, fifty five percent for night classes</w:t>
      </w:r>
      <w:r w:rsidR="00DF4352">
        <w:rPr>
          <w:sz w:val="24"/>
          <w:szCs w:val="24"/>
        </w:rPr>
        <w:t>,</w:t>
      </w:r>
      <w:r w:rsidR="00222E0B">
        <w:rPr>
          <w:sz w:val="24"/>
          <w:szCs w:val="24"/>
        </w:rPr>
        <w:t xml:space="preserve"> and sixty eight percent for online classes</w:t>
      </w:r>
      <w:r w:rsidR="00AA0C9C">
        <w:rPr>
          <w:sz w:val="24"/>
          <w:szCs w:val="24"/>
        </w:rPr>
        <w:t xml:space="preserve"> in the F</w:t>
      </w:r>
      <w:r w:rsidR="00222E0B">
        <w:rPr>
          <w:sz w:val="24"/>
          <w:szCs w:val="24"/>
        </w:rPr>
        <w:t xml:space="preserve">all of 2011. </w:t>
      </w:r>
      <w:r w:rsidR="00DF4352">
        <w:rPr>
          <w:sz w:val="24"/>
          <w:szCs w:val="24"/>
        </w:rPr>
        <w:t xml:space="preserve"> </w:t>
      </w:r>
      <w:r w:rsidR="00222E0B">
        <w:rPr>
          <w:sz w:val="24"/>
          <w:szCs w:val="24"/>
        </w:rPr>
        <w:t>Though online courses are no longer offered</w:t>
      </w:r>
      <w:r w:rsidR="00DF4352">
        <w:rPr>
          <w:sz w:val="24"/>
          <w:szCs w:val="24"/>
        </w:rPr>
        <w:t>,</w:t>
      </w:r>
      <w:r w:rsidR="00222E0B">
        <w:rPr>
          <w:sz w:val="24"/>
          <w:szCs w:val="24"/>
        </w:rPr>
        <w:t xml:space="preserve"> they did</w:t>
      </w:r>
      <w:r w:rsidR="00DF4352">
        <w:rPr>
          <w:sz w:val="24"/>
          <w:szCs w:val="24"/>
        </w:rPr>
        <w:t xml:space="preserve"> much better than their counter</w:t>
      </w:r>
      <w:r w:rsidR="00222E0B">
        <w:rPr>
          <w:sz w:val="24"/>
          <w:szCs w:val="24"/>
        </w:rPr>
        <w:t>parts.</w:t>
      </w:r>
      <w:r w:rsidR="00DF4352">
        <w:rPr>
          <w:sz w:val="24"/>
          <w:szCs w:val="24"/>
        </w:rPr>
        <w:t xml:space="preserve"> </w:t>
      </w:r>
      <w:r w:rsidR="00222E0B">
        <w:rPr>
          <w:sz w:val="24"/>
          <w:szCs w:val="24"/>
        </w:rPr>
        <w:t xml:space="preserve"> The success rates of day courses have increased from forty</w:t>
      </w:r>
      <w:r w:rsidR="00AA0C9C">
        <w:rPr>
          <w:sz w:val="24"/>
          <w:szCs w:val="24"/>
        </w:rPr>
        <w:t xml:space="preserve"> t</w:t>
      </w:r>
      <w:r w:rsidR="00222E0B">
        <w:rPr>
          <w:sz w:val="24"/>
          <w:szCs w:val="24"/>
        </w:rPr>
        <w:t>w</w:t>
      </w:r>
      <w:r w:rsidR="00AA0C9C">
        <w:rPr>
          <w:sz w:val="24"/>
          <w:szCs w:val="24"/>
        </w:rPr>
        <w:t>o percent in the S</w:t>
      </w:r>
      <w:r w:rsidR="00222E0B">
        <w:rPr>
          <w:sz w:val="24"/>
          <w:szCs w:val="24"/>
        </w:rPr>
        <w:t xml:space="preserve">pring of 2012 to sixty </w:t>
      </w:r>
      <w:r w:rsidR="00AA0C9C">
        <w:rPr>
          <w:sz w:val="24"/>
          <w:szCs w:val="24"/>
        </w:rPr>
        <w:t>percent in the S</w:t>
      </w:r>
      <w:r w:rsidR="00222E0B">
        <w:rPr>
          <w:sz w:val="24"/>
          <w:szCs w:val="24"/>
        </w:rPr>
        <w:t>pring of 2014.</w:t>
      </w:r>
      <w:r w:rsidR="00DF4352">
        <w:rPr>
          <w:sz w:val="24"/>
          <w:szCs w:val="24"/>
        </w:rPr>
        <w:t xml:space="preserve"> </w:t>
      </w:r>
      <w:r w:rsidR="00222E0B">
        <w:rPr>
          <w:sz w:val="24"/>
          <w:szCs w:val="24"/>
        </w:rPr>
        <w:t xml:space="preserve"> This is a very good trend for the day courses.</w:t>
      </w:r>
      <w:r w:rsidR="00DF4352">
        <w:rPr>
          <w:sz w:val="24"/>
          <w:szCs w:val="24"/>
        </w:rPr>
        <w:t xml:space="preserve"> </w:t>
      </w:r>
      <w:r w:rsidR="00222E0B">
        <w:rPr>
          <w:sz w:val="24"/>
          <w:szCs w:val="24"/>
        </w:rPr>
        <w:t xml:space="preserve"> The success rates of night courses have fluctuated from sixty nine percent</w:t>
      </w:r>
      <w:r w:rsidR="00AA0C9C">
        <w:rPr>
          <w:sz w:val="24"/>
          <w:szCs w:val="24"/>
        </w:rPr>
        <w:t xml:space="preserve"> in the S</w:t>
      </w:r>
      <w:r w:rsidR="00222E0B">
        <w:rPr>
          <w:sz w:val="24"/>
          <w:szCs w:val="24"/>
        </w:rPr>
        <w:t>pring of 2012</w:t>
      </w:r>
      <w:r w:rsidR="00DF4352">
        <w:rPr>
          <w:sz w:val="24"/>
          <w:szCs w:val="24"/>
        </w:rPr>
        <w:t>,</w:t>
      </w:r>
      <w:r w:rsidR="00222E0B">
        <w:rPr>
          <w:sz w:val="24"/>
          <w:szCs w:val="24"/>
        </w:rPr>
        <w:t xml:space="preserve"> moving up to eighty four</w:t>
      </w:r>
      <w:r w:rsidR="00AA0C9C">
        <w:rPr>
          <w:sz w:val="24"/>
          <w:szCs w:val="24"/>
        </w:rPr>
        <w:t xml:space="preserve"> percent in the S</w:t>
      </w:r>
      <w:r w:rsidR="00222E0B">
        <w:rPr>
          <w:sz w:val="24"/>
          <w:szCs w:val="24"/>
        </w:rPr>
        <w:t xml:space="preserve">pring of 2013. </w:t>
      </w:r>
      <w:r w:rsidR="00DF4352">
        <w:rPr>
          <w:sz w:val="24"/>
          <w:szCs w:val="24"/>
        </w:rPr>
        <w:t xml:space="preserve"> </w:t>
      </w:r>
      <w:r w:rsidR="00222E0B">
        <w:rPr>
          <w:sz w:val="24"/>
          <w:szCs w:val="24"/>
        </w:rPr>
        <w:t xml:space="preserve">They decreased to fifty </w:t>
      </w:r>
      <w:r w:rsidR="00AA0C9C">
        <w:rPr>
          <w:sz w:val="24"/>
          <w:szCs w:val="24"/>
        </w:rPr>
        <w:t>six percent in the F</w:t>
      </w:r>
      <w:r w:rsidR="00222E0B">
        <w:rPr>
          <w:sz w:val="24"/>
          <w:szCs w:val="24"/>
        </w:rPr>
        <w:t>all of 2013 but</w:t>
      </w:r>
      <w:r w:rsidR="00DF4352">
        <w:rPr>
          <w:sz w:val="24"/>
          <w:szCs w:val="24"/>
        </w:rPr>
        <w:t xml:space="preserve"> went up to sixty five percent i</w:t>
      </w:r>
      <w:r w:rsidR="00222E0B">
        <w:rPr>
          <w:sz w:val="24"/>
          <w:szCs w:val="24"/>
        </w:rPr>
        <w:t xml:space="preserve">n </w:t>
      </w:r>
      <w:r w:rsidR="00AA0C9C">
        <w:rPr>
          <w:sz w:val="24"/>
          <w:szCs w:val="24"/>
        </w:rPr>
        <w:t>the S</w:t>
      </w:r>
      <w:r w:rsidR="00222E0B">
        <w:rPr>
          <w:sz w:val="24"/>
          <w:szCs w:val="24"/>
        </w:rPr>
        <w:t xml:space="preserve">pring of 2014. </w:t>
      </w:r>
      <w:r w:rsidR="00DF4352">
        <w:rPr>
          <w:sz w:val="24"/>
          <w:szCs w:val="24"/>
        </w:rPr>
        <w:t xml:space="preserve"> </w:t>
      </w:r>
      <w:r w:rsidR="00EE687C">
        <w:rPr>
          <w:sz w:val="24"/>
          <w:szCs w:val="24"/>
        </w:rPr>
        <w:t>Retention</w:t>
      </w:r>
      <w:r w:rsidR="00222E0B">
        <w:rPr>
          <w:sz w:val="24"/>
          <w:szCs w:val="24"/>
        </w:rPr>
        <w:t xml:space="preserve"> rates for religious studies courses </w:t>
      </w:r>
      <w:r w:rsidR="00EE687C">
        <w:rPr>
          <w:sz w:val="24"/>
          <w:szCs w:val="24"/>
        </w:rPr>
        <w:t xml:space="preserve">have not dropped below sixty percent in the last three years. </w:t>
      </w:r>
      <w:r w:rsidR="00DF4352">
        <w:rPr>
          <w:sz w:val="24"/>
          <w:szCs w:val="24"/>
        </w:rPr>
        <w:t xml:space="preserve"> </w:t>
      </w:r>
      <w:r w:rsidR="00EE687C">
        <w:rPr>
          <w:sz w:val="24"/>
          <w:szCs w:val="24"/>
        </w:rPr>
        <w:t xml:space="preserve">The average retention rate is around seventy five percent for all three types of courses that are offered. </w:t>
      </w:r>
      <w:r w:rsidR="00DF4352">
        <w:rPr>
          <w:sz w:val="24"/>
          <w:szCs w:val="24"/>
        </w:rPr>
        <w:t xml:space="preserve"> </w:t>
      </w:r>
      <w:r w:rsidR="00EE687C">
        <w:rPr>
          <w:sz w:val="24"/>
          <w:szCs w:val="24"/>
        </w:rPr>
        <w:t>This is a v</w:t>
      </w:r>
      <w:r w:rsidR="00DF4352">
        <w:rPr>
          <w:sz w:val="24"/>
          <w:szCs w:val="24"/>
        </w:rPr>
        <w:t xml:space="preserve">ery good sign for the program. </w:t>
      </w:r>
    </w:p>
    <w:p w:rsidR="00CD2EEA" w:rsidRDefault="00CD2EEA" w:rsidP="0023193A">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CD2EEA" w:rsidRDefault="00CD2EEA" w:rsidP="00A615C4">
      <w:pPr>
        <w:keepLines/>
        <w:spacing w:after="0"/>
        <w:ind w:left="1440" w:firstLine="360"/>
        <w:rPr>
          <w:sz w:val="24"/>
        </w:rPr>
      </w:pPr>
    </w:p>
    <w:p w:rsidR="00EE687C" w:rsidRDefault="00EE687C" w:rsidP="0056150B">
      <w:pPr>
        <w:keepLines/>
        <w:spacing w:after="0"/>
        <w:ind w:left="1800" w:right="720"/>
        <w:rPr>
          <w:sz w:val="24"/>
          <w:szCs w:val="24"/>
        </w:rPr>
      </w:pPr>
      <w:r w:rsidRPr="00EE687C">
        <w:rPr>
          <w:b/>
          <w:sz w:val="24"/>
          <w:szCs w:val="24"/>
        </w:rPr>
        <w:t>Philosophy:</w:t>
      </w:r>
      <w:r>
        <w:rPr>
          <w:sz w:val="24"/>
          <w:szCs w:val="24"/>
        </w:rPr>
        <w:t xml:space="preserve"> </w:t>
      </w:r>
      <w:r w:rsidR="0056150B">
        <w:rPr>
          <w:sz w:val="24"/>
          <w:szCs w:val="24"/>
        </w:rPr>
        <w:t xml:space="preserve"> </w:t>
      </w:r>
      <w:r w:rsidR="009F2713">
        <w:rPr>
          <w:sz w:val="24"/>
          <w:szCs w:val="24"/>
        </w:rPr>
        <w:t>Success</w:t>
      </w:r>
      <w:r w:rsidR="00CD2EEA">
        <w:rPr>
          <w:sz w:val="24"/>
          <w:szCs w:val="24"/>
        </w:rPr>
        <w:t xml:space="preserve"> rates for African-American students </w:t>
      </w:r>
      <w:r w:rsidR="009F2713">
        <w:rPr>
          <w:sz w:val="24"/>
          <w:szCs w:val="24"/>
        </w:rPr>
        <w:t>over</w:t>
      </w:r>
      <w:r w:rsidR="0056150B">
        <w:rPr>
          <w:sz w:val="24"/>
          <w:szCs w:val="24"/>
        </w:rPr>
        <w:t xml:space="preserve"> the last three years is at 75%;</w:t>
      </w:r>
      <w:r w:rsidR="009F2713">
        <w:rPr>
          <w:sz w:val="24"/>
          <w:szCs w:val="24"/>
        </w:rPr>
        <w:t xml:space="preserve"> for</w:t>
      </w:r>
      <w:r w:rsidR="0056150B">
        <w:rPr>
          <w:sz w:val="24"/>
          <w:szCs w:val="24"/>
        </w:rPr>
        <w:t xml:space="preserve"> Hispanic students it is at 55%;</w:t>
      </w:r>
      <w:r w:rsidR="009F2713">
        <w:rPr>
          <w:sz w:val="24"/>
          <w:szCs w:val="24"/>
        </w:rPr>
        <w:t xml:space="preserve"> for White students it is at 60%</w:t>
      </w:r>
      <w:r w:rsidR="0056150B">
        <w:rPr>
          <w:sz w:val="24"/>
          <w:szCs w:val="24"/>
        </w:rPr>
        <w:t>,</w:t>
      </w:r>
      <w:r w:rsidR="009F2713">
        <w:rPr>
          <w:sz w:val="24"/>
          <w:szCs w:val="24"/>
        </w:rPr>
        <w:t xml:space="preserve"> and for other ethnicities it is</w:t>
      </w:r>
      <w:r w:rsidR="00AA0C9C">
        <w:rPr>
          <w:sz w:val="24"/>
          <w:szCs w:val="24"/>
        </w:rPr>
        <w:t xml:space="preserve"> at 80%. </w:t>
      </w:r>
      <w:r w:rsidR="0056150B">
        <w:rPr>
          <w:sz w:val="24"/>
          <w:szCs w:val="24"/>
        </w:rPr>
        <w:t xml:space="preserve"> </w:t>
      </w:r>
      <w:r w:rsidR="00AA0C9C">
        <w:rPr>
          <w:sz w:val="24"/>
          <w:szCs w:val="24"/>
        </w:rPr>
        <w:t>The lower success rate</w:t>
      </w:r>
      <w:r w:rsidR="009F2713">
        <w:rPr>
          <w:sz w:val="24"/>
          <w:szCs w:val="24"/>
        </w:rPr>
        <w:t xml:space="preserve"> for Hispanic student</w:t>
      </w:r>
      <w:r w:rsidR="00AA0C9C">
        <w:rPr>
          <w:sz w:val="24"/>
          <w:szCs w:val="24"/>
        </w:rPr>
        <w:t>s</w:t>
      </w:r>
      <w:r w:rsidR="009F2713">
        <w:rPr>
          <w:sz w:val="24"/>
          <w:szCs w:val="24"/>
        </w:rPr>
        <w:t xml:space="preserve"> is due to the majority of students in Philosophy courses being Hispanic, though a 55% success rate is still good.</w:t>
      </w:r>
      <w:r w:rsidR="0056150B">
        <w:rPr>
          <w:sz w:val="24"/>
          <w:szCs w:val="24"/>
        </w:rPr>
        <w:t xml:space="preserve"> </w:t>
      </w:r>
      <w:r w:rsidR="009F2713">
        <w:rPr>
          <w:sz w:val="24"/>
          <w:szCs w:val="24"/>
        </w:rPr>
        <w:t xml:space="preserve"> Retention rates for African American students for the last three years </w:t>
      </w:r>
      <w:r w:rsidR="0056150B">
        <w:rPr>
          <w:sz w:val="24"/>
          <w:szCs w:val="24"/>
        </w:rPr>
        <w:t>is 100%;</w:t>
      </w:r>
      <w:r w:rsidR="009F2713">
        <w:rPr>
          <w:sz w:val="24"/>
          <w:szCs w:val="24"/>
        </w:rPr>
        <w:t xml:space="preserve"> for</w:t>
      </w:r>
      <w:r w:rsidR="0056150B">
        <w:rPr>
          <w:sz w:val="24"/>
          <w:szCs w:val="24"/>
        </w:rPr>
        <w:t xml:space="preserve"> Hispanic students it is at 82%;</w:t>
      </w:r>
      <w:r w:rsidR="009F2713">
        <w:rPr>
          <w:sz w:val="24"/>
          <w:szCs w:val="24"/>
        </w:rPr>
        <w:t xml:space="preserve"> for White students 73%</w:t>
      </w:r>
      <w:r w:rsidR="0056150B">
        <w:rPr>
          <w:sz w:val="24"/>
          <w:szCs w:val="24"/>
        </w:rPr>
        <w:t>,</w:t>
      </w:r>
      <w:r w:rsidR="009F2713">
        <w:rPr>
          <w:sz w:val="24"/>
          <w:szCs w:val="24"/>
        </w:rPr>
        <w:t xml:space="preserve"> and for other ethnicities it is at 80%. </w:t>
      </w:r>
      <w:r w:rsidR="0056150B">
        <w:rPr>
          <w:sz w:val="24"/>
          <w:szCs w:val="24"/>
        </w:rPr>
        <w:t xml:space="preserve"> </w:t>
      </w:r>
      <w:r w:rsidR="009F2713">
        <w:rPr>
          <w:sz w:val="24"/>
          <w:szCs w:val="24"/>
        </w:rPr>
        <w:t xml:space="preserve">All of these trends seem to be similar to that of the college as a whole.   </w:t>
      </w:r>
    </w:p>
    <w:p w:rsidR="00EE687C" w:rsidRPr="00EE687C" w:rsidRDefault="00EE687C" w:rsidP="00A615C4">
      <w:pPr>
        <w:keepLines/>
        <w:spacing w:after="0"/>
        <w:ind w:left="1440" w:firstLine="360"/>
        <w:rPr>
          <w:b/>
          <w:sz w:val="24"/>
          <w:szCs w:val="24"/>
        </w:rPr>
      </w:pPr>
    </w:p>
    <w:p w:rsidR="00CD2EEA" w:rsidRPr="00EE687C" w:rsidRDefault="00EE687C" w:rsidP="0056150B">
      <w:pPr>
        <w:keepLines/>
        <w:spacing w:after="0"/>
        <w:ind w:left="1800" w:right="720"/>
        <w:rPr>
          <w:b/>
          <w:sz w:val="24"/>
        </w:rPr>
      </w:pPr>
      <w:r w:rsidRPr="00EE687C">
        <w:rPr>
          <w:b/>
          <w:sz w:val="24"/>
          <w:szCs w:val="24"/>
        </w:rPr>
        <w:lastRenderedPageBreak/>
        <w:t>Religious Studies:</w:t>
      </w:r>
      <w:r>
        <w:rPr>
          <w:b/>
          <w:sz w:val="24"/>
          <w:szCs w:val="24"/>
        </w:rPr>
        <w:t xml:space="preserve"> </w:t>
      </w:r>
      <w:r w:rsidR="0056150B">
        <w:rPr>
          <w:b/>
          <w:sz w:val="24"/>
          <w:szCs w:val="24"/>
        </w:rPr>
        <w:t xml:space="preserve"> </w:t>
      </w:r>
      <w:r w:rsidR="006B1E84">
        <w:rPr>
          <w:sz w:val="24"/>
          <w:szCs w:val="24"/>
        </w:rPr>
        <w:t>According to the data there have not been any African-American students in the past three years in a religious studies course.</w:t>
      </w:r>
      <w:r w:rsidR="0056150B">
        <w:rPr>
          <w:sz w:val="24"/>
          <w:szCs w:val="24"/>
        </w:rPr>
        <w:t xml:space="preserve"> </w:t>
      </w:r>
      <w:r w:rsidR="006B1E84">
        <w:rPr>
          <w:sz w:val="24"/>
          <w:szCs w:val="24"/>
        </w:rPr>
        <w:t xml:space="preserve"> The success rate for Hispanic students has been</w:t>
      </w:r>
      <w:r w:rsidR="00AA0C9C">
        <w:rPr>
          <w:sz w:val="24"/>
          <w:szCs w:val="24"/>
        </w:rPr>
        <w:t xml:space="preserve"> quite good. </w:t>
      </w:r>
      <w:r w:rsidR="0056150B">
        <w:rPr>
          <w:sz w:val="24"/>
          <w:szCs w:val="24"/>
        </w:rPr>
        <w:t xml:space="preserve"> </w:t>
      </w:r>
      <w:r w:rsidR="00AA0C9C">
        <w:rPr>
          <w:sz w:val="24"/>
          <w:szCs w:val="24"/>
        </w:rPr>
        <w:t>In the F</w:t>
      </w:r>
      <w:r w:rsidR="006B1E84">
        <w:rPr>
          <w:sz w:val="24"/>
          <w:szCs w:val="24"/>
        </w:rPr>
        <w:t xml:space="preserve">all of 2011 </w:t>
      </w:r>
      <w:r w:rsidR="00AA0C9C">
        <w:rPr>
          <w:sz w:val="24"/>
          <w:szCs w:val="24"/>
        </w:rPr>
        <w:t xml:space="preserve">it </w:t>
      </w:r>
      <w:r w:rsidR="006B1E84">
        <w:rPr>
          <w:sz w:val="24"/>
          <w:szCs w:val="24"/>
        </w:rPr>
        <w:t xml:space="preserve">was at 60% and increased to 82% in the </w:t>
      </w:r>
      <w:r w:rsidR="00AA0C9C">
        <w:rPr>
          <w:sz w:val="24"/>
          <w:szCs w:val="24"/>
        </w:rPr>
        <w:t>S</w:t>
      </w:r>
      <w:r w:rsidR="006B1E84">
        <w:rPr>
          <w:sz w:val="24"/>
          <w:szCs w:val="24"/>
        </w:rPr>
        <w:t xml:space="preserve">pring 2013. </w:t>
      </w:r>
      <w:r w:rsidR="0056150B">
        <w:rPr>
          <w:sz w:val="24"/>
          <w:szCs w:val="24"/>
        </w:rPr>
        <w:t xml:space="preserve"> </w:t>
      </w:r>
      <w:r w:rsidR="006B1E84">
        <w:rPr>
          <w:sz w:val="24"/>
          <w:szCs w:val="24"/>
        </w:rPr>
        <w:t>It went down to 57% in the</w:t>
      </w:r>
      <w:r w:rsidR="00AA0C9C">
        <w:rPr>
          <w:sz w:val="24"/>
          <w:szCs w:val="24"/>
        </w:rPr>
        <w:t xml:space="preserve"> Fa</w:t>
      </w:r>
      <w:r w:rsidR="006B1E84">
        <w:rPr>
          <w:sz w:val="24"/>
          <w:szCs w:val="24"/>
        </w:rPr>
        <w:t>ll of 2013 but increased to 62% in the</w:t>
      </w:r>
      <w:r w:rsidR="00AA0C9C">
        <w:rPr>
          <w:sz w:val="24"/>
          <w:szCs w:val="24"/>
        </w:rPr>
        <w:t xml:space="preserve"> S</w:t>
      </w:r>
      <w:r w:rsidR="006B1E84">
        <w:rPr>
          <w:sz w:val="24"/>
          <w:szCs w:val="24"/>
        </w:rPr>
        <w:t>pring of 2014.</w:t>
      </w:r>
      <w:r w:rsidR="0056150B">
        <w:rPr>
          <w:sz w:val="24"/>
          <w:szCs w:val="24"/>
        </w:rPr>
        <w:t xml:space="preserve"> </w:t>
      </w:r>
      <w:r w:rsidR="006B1E84">
        <w:rPr>
          <w:sz w:val="24"/>
          <w:szCs w:val="24"/>
        </w:rPr>
        <w:t xml:space="preserve"> The success </w:t>
      </w:r>
      <w:r w:rsidR="00AA0C9C">
        <w:rPr>
          <w:sz w:val="24"/>
          <w:szCs w:val="24"/>
        </w:rPr>
        <w:t>rate</w:t>
      </w:r>
      <w:r w:rsidR="006B1E84">
        <w:rPr>
          <w:sz w:val="24"/>
          <w:szCs w:val="24"/>
        </w:rPr>
        <w:t xml:space="preserve"> of White students is very good at a overall rate of 90% over the last three years. </w:t>
      </w:r>
      <w:r w:rsidR="0056150B">
        <w:rPr>
          <w:sz w:val="24"/>
          <w:szCs w:val="24"/>
        </w:rPr>
        <w:t xml:space="preserve"> </w:t>
      </w:r>
      <w:r w:rsidR="006B1E84">
        <w:rPr>
          <w:sz w:val="24"/>
          <w:szCs w:val="24"/>
        </w:rPr>
        <w:t xml:space="preserve">Other ethnicities </w:t>
      </w:r>
      <w:r w:rsidR="0056150B">
        <w:rPr>
          <w:sz w:val="24"/>
          <w:szCs w:val="24"/>
        </w:rPr>
        <w:t xml:space="preserve">also </w:t>
      </w:r>
      <w:r w:rsidR="006B1E84">
        <w:rPr>
          <w:sz w:val="24"/>
          <w:szCs w:val="24"/>
        </w:rPr>
        <w:t xml:space="preserve">fared </w:t>
      </w:r>
      <w:r w:rsidR="00AA0C9C">
        <w:rPr>
          <w:sz w:val="24"/>
          <w:szCs w:val="24"/>
        </w:rPr>
        <w:t xml:space="preserve">well </w:t>
      </w:r>
      <w:r w:rsidR="006B1E84">
        <w:rPr>
          <w:sz w:val="24"/>
          <w:szCs w:val="24"/>
        </w:rPr>
        <w:t xml:space="preserve">with both a success and retention rate of 100%.        </w:t>
      </w:r>
      <w:r w:rsidR="009F2713" w:rsidRPr="00EE687C">
        <w:rPr>
          <w:b/>
          <w:sz w:val="24"/>
          <w:szCs w:val="24"/>
        </w:rPr>
        <w:t xml:space="preserve">  </w:t>
      </w:r>
    </w:p>
    <w:p w:rsidR="00CD2EEA" w:rsidRPr="00063F23" w:rsidRDefault="00CD2EEA" w:rsidP="00A615C4">
      <w:pPr>
        <w:keepLines/>
        <w:spacing w:after="0"/>
        <w:ind w:left="1440" w:firstLine="360"/>
        <w:rPr>
          <w:sz w:val="24"/>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56150B" w:rsidRDefault="00063F23" w:rsidP="0056150B">
      <w:pPr>
        <w:keepLines/>
        <w:spacing w:after="0"/>
        <w:ind w:left="1440" w:firstLine="360"/>
        <w:rPr>
          <w:sz w:val="24"/>
        </w:rPr>
      </w:pPr>
      <w:r w:rsidRPr="00063F23">
        <w:rPr>
          <w:sz w:val="24"/>
        </w:rPr>
        <w:t xml:space="preserve">Discuss the trends in the number of degrees and/or certificates awarded. </w:t>
      </w:r>
    </w:p>
    <w:p w:rsidR="0056150B" w:rsidRDefault="0056150B" w:rsidP="0056150B">
      <w:pPr>
        <w:keepLines/>
        <w:spacing w:after="0"/>
        <w:ind w:left="1440" w:firstLine="360"/>
        <w:rPr>
          <w:sz w:val="24"/>
        </w:rPr>
      </w:pPr>
    </w:p>
    <w:p w:rsidR="0056150B" w:rsidRPr="0056150B" w:rsidRDefault="0056150B" w:rsidP="0056150B">
      <w:pPr>
        <w:keepLines/>
        <w:spacing w:after="0"/>
        <w:ind w:left="1440" w:firstLine="360"/>
        <w:rPr>
          <w:sz w:val="24"/>
        </w:rPr>
      </w:pPr>
      <w:r>
        <w:rPr>
          <w:sz w:val="24"/>
        </w:rPr>
        <w:t xml:space="preserve">No degree or certificate </w:t>
      </w:r>
      <w:r w:rsidR="00D57B95">
        <w:rPr>
          <w:sz w:val="24"/>
        </w:rPr>
        <w:t>is offered in Philosophy or Religious Studies</w:t>
      </w:r>
      <w:r w:rsidR="00B13B63">
        <w:rPr>
          <w:sz w:val="24"/>
        </w:rPr>
        <w:t>.</w:t>
      </w:r>
    </w:p>
    <w:p w:rsidR="00063F23" w:rsidRDefault="00063F23"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rsidR="006D1137"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913438" w:rsidRDefault="00913438" w:rsidP="004A7487">
      <w:pPr>
        <w:spacing w:after="0"/>
        <w:ind w:left="1440" w:firstLine="360"/>
        <w:rPr>
          <w:sz w:val="24"/>
          <w:szCs w:val="24"/>
        </w:rPr>
      </w:pPr>
    </w:p>
    <w:p w:rsidR="00BA484C" w:rsidRDefault="00BA484C" w:rsidP="004A7487">
      <w:pPr>
        <w:spacing w:after="0"/>
        <w:ind w:left="1440" w:firstLine="360"/>
        <w:rPr>
          <w:sz w:val="24"/>
          <w:szCs w:val="24"/>
        </w:rPr>
      </w:pPr>
      <w:r>
        <w:rPr>
          <w:sz w:val="24"/>
          <w:szCs w:val="24"/>
        </w:rPr>
        <w:t xml:space="preserve">There are no scheduled changes to the current program. </w:t>
      </w:r>
    </w:p>
    <w:p w:rsidR="00BA484C" w:rsidRDefault="00BA484C" w:rsidP="004A7487">
      <w:pPr>
        <w:spacing w:after="0"/>
        <w:ind w:left="1440" w:firstLine="360"/>
        <w:rPr>
          <w:sz w:val="24"/>
          <w:szCs w:val="24"/>
        </w:rPr>
      </w:pPr>
    </w:p>
    <w:p w:rsidR="00937B09" w:rsidRPr="004A7487" w:rsidRDefault="00063F23" w:rsidP="0056150B">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rsidR="00BA484C" w:rsidRDefault="00BA484C" w:rsidP="00BA484C">
      <w:pPr>
        <w:pStyle w:val="ListParagraph"/>
        <w:spacing w:after="0" w:line="240" w:lineRule="auto"/>
        <w:ind w:left="1080"/>
        <w:rPr>
          <w:sz w:val="24"/>
        </w:rPr>
      </w:pPr>
    </w:p>
    <w:p w:rsidR="00BA484C" w:rsidRPr="00BA484C" w:rsidRDefault="00BA484C" w:rsidP="0056150B">
      <w:pPr>
        <w:pStyle w:val="ListParagraph"/>
        <w:spacing w:after="0" w:line="240" w:lineRule="auto"/>
        <w:ind w:left="1080" w:right="720"/>
        <w:rPr>
          <w:sz w:val="24"/>
        </w:rPr>
      </w:pPr>
      <w:r w:rsidRPr="00BA484C">
        <w:rPr>
          <w:sz w:val="24"/>
        </w:rPr>
        <w:t xml:space="preserve">Alterations to some of the delivery methods of philosophical materials have been implemented which have improved the success rates for students. </w:t>
      </w:r>
      <w:r w:rsidR="0056150B">
        <w:rPr>
          <w:sz w:val="24"/>
        </w:rPr>
        <w:t xml:space="preserve"> </w:t>
      </w:r>
      <w:r w:rsidRPr="00BA484C">
        <w:rPr>
          <w:sz w:val="24"/>
        </w:rPr>
        <w:t xml:space="preserve">The creation of philosophy club has also been a positive addition to the program as well.        </w:t>
      </w:r>
    </w:p>
    <w:p w:rsidR="00707C2F" w:rsidRPr="00707C2F" w:rsidRDefault="00707C2F" w:rsidP="00707C2F">
      <w:pPr>
        <w:pStyle w:val="ListParagraph"/>
        <w:spacing w:after="0" w:line="240" w:lineRule="auto"/>
        <w:ind w:left="1440"/>
        <w:rPr>
          <w:sz w:val="24"/>
          <w:szCs w:val="24"/>
        </w:rPr>
      </w:pPr>
    </w:p>
    <w:p w:rsidR="004A7487" w:rsidRDefault="00063F23" w:rsidP="00A615C4">
      <w:pPr>
        <w:pStyle w:val="ListParagraph"/>
        <w:keepLines/>
        <w:numPr>
          <w:ilvl w:val="0"/>
          <w:numId w:val="20"/>
        </w:numPr>
        <w:spacing w:after="0" w:line="240" w:lineRule="auto"/>
        <w:rPr>
          <w:sz w:val="24"/>
          <w:szCs w:val="24"/>
        </w:rPr>
      </w:pPr>
      <w:r>
        <w:rPr>
          <w:sz w:val="24"/>
          <w:szCs w:val="24"/>
        </w:rPr>
        <w:t>Evaluate the program’s viability by addressing program completion, size (FTES), projections (growing/stable/declining), and quality of outcomes.</w:t>
      </w:r>
    </w:p>
    <w:p w:rsidR="00BA484C" w:rsidRDefault="00BA484C" w:rsidP="00BA484C">
      <w:pPr>
        <w:spacing w:after="0" w:line="240" w:lineRule="auto"/>
        <w:ind w:left="1080"/>
        <w:rPr>
          <w:rFonts w:ascii="Bernard MT Condensed" w:hAnsi="Bernard MT Condensed"/>
          <w:b/>
          <w:sz w:val="28"/>
          <w:szCs w:val="28"/>
        </w:rPr>
      </w:pPr>
    </w:p>
    <w:p w:rsidR="00BA484C" w:rsidRDefault="00BA484C" w:rsidP="0056150B">
      <w:pPr>
        <w:spacing w:after="0" w:line="240" w:lineRule="auto"/>
        <w:ind w:left="1080"/>
        <w:rPr>
          <w:sz w:val="24"/>
        </w:rPr>
      </w:pPr>
      <w:r>
        <w:rPr>
          <w:sz w:val="24"/>
        </w:rPr>
        <w:t xml:space="preserve">The Philosophy program is thriving from the stand point of student success and retention rates. </w:t>
      </w:r>
      <w:r w:rsidR="0056150B">
        <w:rPr>
          <w:sz w:val="24"/>
        </w:rPr>
        <w:t xml:space="preserve"> </w:t>
      </w:r>
      <w:r>
        <w:rPr>
          <w:sz w:val="24"/>
        </w:rPr>
        <w:t>It has decreased by one or two</w:t>
      </w:r>
      <w:r w:rsidR="00AA0C9C">
        <w:rPr>
          <w:sz w:val="24"/>
        </w:rPr>
        <w:t xml:space="preserve"> course offerings from F</w:t>
      </w:r>
      <w:r>
        <w:rPr>
          <w:sz w:val="24"/>
        </w:rPr>
        <w:t xml:space="preserve">all 2012 to </w:t>
      </w:r>
      <w:r w:rsidR="00AA0C9C">
        <w:rPr>
          <w:sz w:val="24"/>
        </w:rPr>
        <w:t>S</w:t>
      </w:r>
      <w:r>
        <w:rPr>
          <w:sz w:val="24"/>
        </w:rPr>
        <w:t xml:space="preserve">pring 2013. </w:t>
      </w:r>
      <w:r w:rsidR="0056150B">
        <w:rPr>
          <w:sz w:val="24"/>
        </w:rPr>
        <w:t xml:space="preserve"> </w:t>
      </w:r>
      <w:r>
        <w:rPr>
          <w:sz w:val="24"/>
        </w:rPr>
        <w:t xml:space="preserve">This is due to the student body decreasing at Imperial Valley College. </w:t>
      </w:r>
      <w:r w:rsidR="0056150B">
        <w:rPr>
          <w:sz w:val="24"/>
        </w:rPr>
        <w:t xml:space="preserve"> </w:t>
      </w:r>
      <w:r>
        <w:rPr>
          <w:sz w:val="24"/>
        </w:rPr>
        <w:t xml:space="preserve">The projection for the program is that it should be stable in light of what has taken place in the last two semesters.    </w:t>
      </w:r>
    </w:p>
    <w:p w:rsidR="00BA484C" w:rsidRDefault="00BA484C" w:rsidP="00CC7541">
      <w:pPr>
        <w:spacing w:after="0" w:line="240" w:lineRule="auto"/>
        <w:ind w:left="720"/>
        <w:rPr>
          <w:rFonts w:ascii="Bernard MT Condensed" w:hAnsi="Bernard MT Condensed"/>
          <w:b/>
          <w:sz w:val="28"/>
          <w:szCs w:val="28"/>
        </w:rPr>
      </w:pPr>
    </w:p>
    <w:p w:rsidR="0056150B" w:rsidRDefault="0056150B" w:rsidP="00CC7541">
      <w:pPr>
        <w:spacing w:after="0" w:line="240" w:lineRule="auto"/>
        <w:ind w:left="720"/>
        <w:rPr>
          <w:rFonts w:ascii="Bernard MT Condensed" w:hAnsi="Bernard MT Condensed"/>
          <w:b/>
          <w:sz w:val="28"/>
          <w:szCs w:val="28"/>
        </w:rPr>
      </w:pPr>
    </w:p>
    <w:p w:rsidR="00445124" w:rsidRPr="008060FF" w:rsidRDefault="00BA484C" w:rsidP="00CC7541">
      <w:pPr>
        <w:spacing w:after="0" w:line="240" w:lineRule="auto"/>
        <w:ind w:left="720"/>
        <w:rPr>
          <w:rFonts w:ascii="Bernard MT Condensed" w:hAnsi="Bernard MT Condensed"/>
          <w:b/>
          <w:sz w:val="28"/>
          <w:szCs w:val="28"/>
        </w:rPr>
      </w:pPr>
      <w:r>
        <w:rPr>
          <w:rFonts w:ascii="Bernard MT Condensed" w:hAnsi="Bernard MT Condensed"/>
          <w:b/>
          <w:sz w:val="28"/>
          <w:szCs w:val="28"/>
        </w:rPr>
        <w:t xml:space="preserve"> </w:t>
      </w:r>
    </w:p>
    <w:p w:rsidR="00CC7541" w:rsidRDefault="00CC7541" w:rsidP="00CC7541">
      <w:pPr>
        <w:spacing w:after="0" w:line="240" w:lineRule="auto"/>
        <w:ind w:left="720"/>
        <w:rPr>
          <w:b/>
          <w:sz w:val="32"/>
          <w:szCs w:val="32"/>
        </w:rPr>
      </w:pPr>
      <w:r w:rsidRPr="000403F6">
        <w:rPr>
          <w:b/>
          <w:sz w:val="32"/>
          <w:szCs w:val="32"/>
        </w:rPr>
        <w:lastRenderedPageBreak/>
        <w:t xml:space="preserve">C. FUTURE – LIST OF </w:t>
      </w:r>
      <w:r>
        <w:rPr>
          <w:b/>
          <w:sz w:val="32"/>
          <w:szCs w:val="32"/>
        </w:rPr>
        <w:t>“</w:t>
      </w:r>
      <w:r w:rsidRPr="006B712B">
        <w:rPr>
          <w:b/>
          <w:color w:val="C00000"/>
          <w:sz w:val="32"/>
          <w:szCs w:val="32"/>
        </w:rPr>
        <w:t>SMART</w:t>
      </w:r>
      <w:r>
        <w:rPr>
          <w:b/>
          <w:sz w:val="32"/>
          <w:szCs w:val="32"/>
        </w:rPr>
        <w:t>” (</w:t>
      </w:r>
      <w:r w:rsidRPr="006B712B">
        <w:rPr>
          <w:b/>
          <w:color w:val="C00000"/>
          <w:sz w:val="36"/>
          <w:szCs w:val="32"/>
          <w:u w:val="single"/>
        </w:rPr>
        <w:t>S</w:t>
      </w:r>
      <w:r w:rsidRPr="000C3BC9">
        <w:rPr>
          <w:b/>
          <w:szCs w:val="24"/>
        </w:rPr>
        <w:t>PECIFIC</w:t>
      </w:r>
      <w:r w:rsidRPr="000C3BC9">
        <w:rPr>
          <w:sz w:val="24"/>
          <w:szCs w:val="24"/>
        </w:rPr>
        <w:t xml:space="preserve"> </w:t>
      </w:r>
      <w:r w:rsidRPr="006B712B">
        <w:rPr>
          <w:b/>
          <w:color w:val="C00000"/>
          <w:sz w:val="36"/>
          <w:szCs w:val="32"/>
          <w:u w:val="single"/>
        </w:rPr>
        <w:t>M</w:t>
      </w:r>
      <w:r w:rsidRPr="000C3BC9">
        <w:rPr>
          <w:b/>
          <w:szCs w:val="24"/>
        </w:rPr>
        <w:t>EASURABLE</w:t>
      </w:r>
      <w:r w:rsidRPr="00BF037A">
        <w:rPr>
          <w:b/>
          <w:sz w:val="24"/>
          <w:szCs w:val="24"/>
        </w:rPr>
        <w:t xml:space="preserve"> </w:t>
      </w:r>
      <w:r w:rsidRPr="006B712B">
        <w:rPr>
          <w:b/>
          <w:color w:val="C00000"/>
          <w:sz w:val="36"/>
          <w:szCs w:val="32"/>
          <w:u w:val="single"/>
        </w:rPr>
        <w:t>A</w:t>
      </w:r>
      <w:r w:rsidRPr="000C3BC9">
        <w:rPr>
          <w:b/>
          <w:szCs w:val="24"/>
        </w:rPr>
        <w:t xml:space="preserve">TTAINABLE </w:t>
      </w:r>
      <w:r w:rsidRPr="006B712B">
        <w:rPr>
          <w:b/>
          <w:color w:val="C00000"/>
          <w:sz w:val="36"/>
          <w:szCs w:val="32"/>
          <w:u w:val="single"/>
        </w:rPr>
        <w:t>R</w:t>
      </w:r>
      <w:r w:rsidRPr="000C3BC9">
        <w:rPr>
          <w:b/>
          <w:szCs w:val="24"/>
        </w:rPr>
        <w:t>ELEVANT</w:t>
      </w:r>
      <w:r w:rsidRPr="000C3BC9">
        <w:rPr>
          <w:szCs w:val="24"/>
        </w:rPr>
        <w:t xml:space="preserve"> </w:t>
      </w:r>
      <w:r w:rsidRPr="006B712B">
        <w:rPr>
          <w:b/>
          <w:color w:val="C00000"/>
          <w:sz w:val="36"/>
          <w:szCs w:val="32"/>
          <w:u w:val="single"/>
        </w:rPr>
        <w:t>T</w:t>
      </w:r>
      <w:r w:rsidRPr="000C3BC9">
        <w:rPr>
          <w:b/>
          <w:szCs w:val="24"/>
        </w:rPr>
        <w:t>IME-LIMITED</w:t>
      </w:r>
      <w:r>
        <w:rPr>
          <w:b/>
          <w:sz w:val="32"/>
          <w:szCs w:val="32"/>
        </w:rPr>
        <w:t xml:space="preserve">) PROGRAM OBJECTIVES </w:t>
      </w:r>
      <w:r w:rsidRPr="000403F6">
        <w:rPr>
          <w:b/>
          <w:sz w:val="32"/>
          <w:szCs w:val="32"/>
        </w:rPr>
        <w:t xml:space="preserve">FOR </w:t>
      </w:r>
      <w:r>
        <w:rPr>
          <w:b/>
          <w:sz w:val="32"/>
          <w:szCs w:val="32"/>
        </w:rPr>
        <w:t>NEXT ACADEMIC YEAR</w:t>
      </w:r>
      <w:r w:rsidRPr="000403F6">
        <w:rPr>
          <w:b/>
          <w:sz w:val="32"/>
          <w:szCs w:val="32"/>
        </w:rPr>
        <w:t xml:space="preserve"> TO ADDRESS PROGRAM IMPROVEMENT, </w:t>
      </w:r>
      <w:r>
        <w:rPr>
          <w:b/>
          <w:sz w:val="32"/>
          <w:szCs w:val="32"/>
        </w:rPr>
        <w:t xml:space="preserve">GROWTH, OR UNMET NEEDS/GOALS. </w:t>
      </w:r>
      <w:r>
        <w:rPr>
          <w:b/>
          <w:sz w:val="32"/>
          <w:szCs w:val="32"/>
          <w:u w:val="single"/>
        </w:rPr>
        <w:t>ALL PROGRAM GOALS MUST ADDRESS AT LEAST ONE OF THE INSTITUTIONAL GOALS</w:t>
      </w:r>
      <w:r>
        <w:rPr>
          <w:b/>
          <w:sz w:val="32"/>
          <w:szCs w:val="32"/>
        </w:rPr>
        <w:t>.</w:t>
      </w:r>
    </w:p>
    <w:p w:rsidR="00694F4E" w:rsidRDefault="00694F4E" w:rsidP="00CC7541">
      <w:pPr>
        <w:spacing w:after="0" w:line="240" w:lineRule="auto"/>
        <w:ind w:left="720"/>
        <w:rPr>
          <w:b/>
          <w:sz w:val="32"/>
          <w:szCs w:val="32"/>
        </w:rPr>
      </w:pPr>
    </w:p>
    <w:tbl>
      <w:tblPr>
        <w:tblStyle w:val="TableGrid"/>
        <w:tblW w:w="0" w:type="auto"/>
        <w:tblInd w:w="828" w:type="dxa"/>
        <w:tblLayout w:type="fixed"/>
        <w:tblLook w:val="04A0"/>
      </w:tblPr>
      <w:tblGrid>
        <w:gridCol w:w="1890"/>
        <w:gridCol w:w="2700"/>
        <w:gridCol w:w="3600"/>
        <w:gridCol w:w="2790"/>
        <w:gridCol w:w="1980"/>
      </w:tblGrid>
      <w:tr w:rsidR="00CC7541" w:rsidRPr="00BF037A" w:rsidTr="00CC7541">
        <w:trPr>
          <w:trHeight w:val="710"/>
        </w:trPr>
        <w:tc>
          <w:tcPr>
            <w:tcW w:w="10980" w:type="dxa"/>
            <w:gridSpan w:val="4"/>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3"/>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6150B" w:rsidTr="00CC7541">
        <w:tc>
          <w:tcPr>
            <w:tcW w:w="10980" w:type="dxa"/>
            <w:gridSpan w:val="4"/>
            <w:tcBorders>
              <w:top w:val="single" w:sz="4" w:space="0" w:color="auto"/>
              <w:left w:val="single" w:sz="4" w:space="0" w:color="auto"/>
              <w:bottom w:val="dotted" w:sz="4" w:space="0" w:color="auto"/>
              <w:right w:val="dotted" w:sz="4" w:space="0" w:color="auto"/>
            </w:tcBorders>
          </w:tcPr>
          <w:p w:rsidR="0056150B" w:rsidRPr="00613585" w:rsidRDefault="0056150B"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Distance Education Course </w:t>
            </w:r>
          </w:p>
          <w:p w:rsidR="0056150B" w:rsidRPr="005707F9" w:rsidRDefault="0056150B"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56150B" w:rsidRPr="00FD66D9" w:rsidRDefault="0056150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56150B" w:rsidRPr="00FD66D9" w:rsidRDefault="0056150B" w:rsidP="0056150B">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56150B" w:rsidRPr="001471B3" w:rsidRDefault="0056150B" w:rsidP="0056150B">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56150B" w:rsidRPr="001471B3" w:rsidRDefault="0056150B" w:rsidP="0056150B">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56150B" w:rsidRDefault="0056150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56150B" w:rsidRPr="00FD66D9" w:rsidRDefault="0056150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56150B" w:rsidRPr="001471B3" w:rsidRDefault="0056150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56150B" w:rsidRPr="004519FF" w:rsidRDefault="0056150B"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56150B" w:rsidTr="00CC7541">
        <w:tc>
          <w:tcPr>
            <w:tcW w:w="10980" w:type="dxa"/>
            <w:gridSpan w:val="4"/>
            <w:tcBorders>
              <w:top w:val="dotted" w:sz="4" w:space="0" w:color="auto"/>
              <w:left w:val="single" w:sz="4" w:space="0" w:color="auto"/>
              <w:bottom w:val="dotted" w:sz="4" w:space="0" w:color="auto"/>
              <w:right w:val="dotted" w:sz="4" w:space="0" w:color="auto"/>
            </w:tcBorders>
          </w:tcPr>
          <w:p w:rsidR="0056150B" w:rsidRDefault="0056150B" w:rsidP="00CC7541">
            <w:pPr>
              <w:rPr>
                <w:sz w:val="24"/>
                <w:szCs w:val="24"/>
              </w:rPr>
            </w:pPr>
            <w:r w:rsidRPr="005707F9">
              <w:rPr>
                <w:b/>
                <w:sz w:val="24"/>
                <w:szCs w:val="24"/>
              </w:rPr>
              <w:t>Objective:</w:t>
            </w:r>
            <w:r>
              <w:rPr>
                <w:sz w:val="24"/>
                <w:szCs w:val="24"/>
              </w:rPr>
              <w:t xml:space="preserve">  Implement at least one Philosophy course online.</w:t>
            </w:r>
          </w:p>
          <w:p w:rsidR="0056150B" w:rsidRPr="00A43CBC" w:rsidRDefault="0056150B" w:rsidP="00CC7541">
            <w:pPr>
              <w:rPr>
                <w:b/>
                <w:sz w:val="24"/>
                <w:szCs w:val="24"/>
              </w:rPr>
            </w:pPr>
          </w:p>
        </w:tc>
        <w:tc>
          <w:tcPr>
            <w:tcW w:w="1980" w:type="dxa"/>
            <w:vMerge/>
            <w:tcBorders>
              <w:left w:val="dotted" w:sz="4" w:space="0" w:color="auto"/>
              <w:right w:val="single" w:sz="4" w:space="0" w:color="auto"/>
            </w:tcBorders>
          </w:tcPr>
          <w:p w:rsidR="0056150B" w:rsidRDefault="0056150B" w:rsidP="00CC7541">
            <w:pPr>
              <w:jc w:val="center"/>
              <w:rPr>
                <w:sz w:val="24"/>
                <w:szCs w:val="24"/>
              </w:rPr>
            </w:pPr>
          </w:p>
        </w:tc>
      </w:tr>
      <w:tr w:rsidR="0056150B" w:rsidTr="00CC7541">
        <w:tc>
          <w:tcPr>
            <w:tcW w:w="10980" w:type="dxa"/>
            <w:gridSpan w:val="4"/>
            <w:tcBorders>
              <w:top w:val="dotted" w:sz="4" w:space="0" w:color="auto"/>
              <w:left w:val="single" w:sz="4" w:space="0" w:color="auto"/>
              <w:bottom w:val="dotted" w:sz="4" w:space="0" w:color="auto"/>
              <w:right w:val="dotted" w:sz="4" w:space="0" w:color="auto"/>
            </w:tcBorders>
            <w:vAlign w:val="center"/>
          </w:tcPr>
          <w:p w:rsidR="0056150B" w:rsidRPr="00455861" w:rsidRDefault="0056150B" w:rsidP="00CC7541">
            <w:pPr>
              <w:jc w:val="center"/>
              <w:rPr>
                <w:b/>
                <w:sz w:val="24"/>
                <w:szCs w:val="24"/>
              </w:rPr>
            </w:pPr>
            <w:r w:rsidRPr="00455861">
              <w:rPr>
                <w:b/>
                <w:sz w:val="24"/>
                <w:szCs w:val="24"/>
              </w:rPr>
              <w:t>RESOURCE PLAN</w:t>
            </w:r>
          </w:p>
          <w:p w:rsidR="0056150B" w:rsidRPr="00455861" w:rsidRDefault="0056150B"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56150B" w:rsidRDefault="0056150B" w:rsidP="00CC7541">
            <w:pPr>
              <w:rPr>
                <w:sz w:val="24"/>
                <w:szCs w:val="24"/>
              </w:rPr>
            </w:pPr>
          </w:p>
        </w:tc>
      </w:tr>
      <w:tr w:rsidR="0056150B" w:rsidTr="00CC7541">
        <w:trPr>
          <w:trHeight w:val="467"/>
        </w:trPr>
        <w:tc>
          <w:tcPr>
            <w:tcW w:w="10980" w:type="dxa"/>
            <w:gridSpan w:val="4"/>
            <w:tcBorders>
              <w:top w:val="dotted" w:sz="4" w:space="0" w:color="auto"/>
              <w:left w:val="single" w:sz="4" w:space="0" w:color="auto"/>
              <w:bottom w:val="dotted" w:sz="4" w:space="0" w:color="auto"/>
              <w:right w:val="dotted" w:sz="4" w:space="0" w:color="auto"/>
            </w:tcBorders>
          </w:tcPr>
          <w:p w:rsidR="0056150B" w:rsidRDefault="0056150B" w:rsidP="0056150B">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Staffing</w:t>
            </w:r>
          </w:p>
          <w:p w:rsidR="0056150B" w:rsidRPr="005707F9" w:rsidRDefault="0056150B" w:rsidP="00CC7541">
            <w:pPr>
              <w:rPr>
                <w:sz w:val="24"/>
                <w:szCs w:val="24"/>
              </w:rPr>
            </w:pPr>
          </w:p>
        </w:tc>
        <w:tc>
          <w:tcPr>
            <w:tcW w:w="1980" w:type="dxa"/>
            <w:vMerge/>
            <w:tcBorders>
              <w:left w:val="dotted" w:sz="4" w:space="0" w:color="auto"/>
              <w:right w:val="single" w:sz="4" w:space="0" w:color="auto"/>
            </w:tcBorders>
          </w:tcPr>
          <w:p w:rsidR="0056150B" w:rsidRDefault="0056150B" w:rsidP="00CC7541">
            <w:pPr>
              <w:rPr>
                <w:sz w:val="24"/>
                <w:szCs w:val="24"/>
              </w:rPr>
            </w:pPr>
          </w:p>
        </w:tc>
      </w:tr>
      <w:tr w:rsidR="0056150B" w:rsidTr="00CC7541">
        <w:trPr>
          <w:trHeight w:val="404"/>
        </w:trPr>
        <w:tc>
          <w:tcPr>
            <w:tcW w:w="10980" w:type="dxa"/>
            <w:gridSpan w:val="4"/>
            <w:tcBorders>
              <w:top w:val="dotted" w:sz="4" w:space="0" w:color="auto"/>
              <w:left w:val="single" w:sz="4" w:space="0" w:color="auto"/>
              <w:bottom w:val="dotted" w:sz="4" w:space="0" w:color="auto"/>
              <w:right w:val="dotted" w:sz="4" w:space="0" w:color="auto"/>
            </w:tcBorders>
          </w:tcPr>
          <w:p w:rsidR="0056150B" w:rsidRDefault="0056150B" w:rsidP="0056150B">
            <w:pPr>
              <w:rPr>
                <w:b/>
                <w:sz w:val="24"/>
                <w:szCs w:val="24"/>
              </w:rPr>
            </w:pPr>
            <w:r>
              <w:rPr>
                <w:b/>
                <w:sz w:val="24"/>
                <w:szCs w:val="24"/>
              </w:rPr>
              <w:t xml:space="preserve">Task(s)   </w:t>
            </w:r>
          </w:p>
        </w:tc>
        <w:tc>
          <w:tcPr>
            <w:tcW w:w="1980" w:type="dxa"/>
            <w:vMerge/>
            <w:tcBorders>
              <w:left w:val="dotted" w:sz="4" w:space="0" w:color="auto"/>
              <w:right w:val="single" w:sz="4" w:space="0" w:color="auto"/>
            </w:tcBorders>
          </w:tcPr>
          <w:p w:rsidR="0056150B" w:rsidRDefault="0056150B" w:rsidP="00CC7541">
            <w:pPr>
              <w:rPr>
                <w:sz w:val="24"/>
                <w:szCs w:val="24"/>
              </w:rPr>
            </w:pPr>
          </w:p>
        </w:tc>
      </w:tr>
      <w:tr w:rsidR="0056150B" w:rsidTr="00CC7541">
        <w:trPr>
          <w:trHeight w:val="431"/>
        </w:trPr>
        <w:tc>
          <w:tcPr>
            <w:tcW w:w="10980" w:type="dxa"/>
            <w:gridSpan w:val="4"/>
            <w:tcBorders>
              <w:top w:val="dotted" w:sz="4" w:space="0" w:color="auto"/>
              <w:left w:val="single" w:sz="4" w:space="0" w:color="auto"/>
              <w:bottom w:val="dotted" w:sz="4" w:space="0" w:color="auto"/>
              <w:right w:val="dotted" w:sz="4" w:space="0" w:color="auto"/>
            </w:tcBorders>
          </w:tcPr>
          <w:p w:rsidR="0056150B" w:rsidRPr="00CC7541" w:rsidRDefault="0056150B" w:rsidP="00CC7541">
            <w:pPr>
              <w:pStyle w:val="ListParagraph"/>
              <w:numPr>
                <w:ilvl w:val="0"/>
                <w:numId w:val="32"/>
              </w:numPr>
              <w:rPr>
                <w:b/>
                <w:sz w:val="24"/>
                <w:szCs w:val="24"/>
              </w:rPr>
            </w:pPr>
            <w:r>
              <w:rPr>
                <w:sz w:val="24"/>
              </w:rPr>
              <w:t>Have the courses approved by the Distance Education Committee.</w:t>
            </w:r>
          </w:p>
          <w:p w:rsidR="0056150B" w:rsidRPr="00CC7541" w:rsidRDefault="0056150B" w:rsidP="00CC7541">
            <w:pPr>
              <w:pStyle w:val="ListParagraph"/>
              <w:ind w:left="342"/>
              <w:rPr>
                <w:b/>
                <w:sz w:val="24"/>
                <w:szCs w:val="24"/>
              </w:rPr>
            </w:pPr>
          </w:p>
        </w:tc>
        <w:tc>
          <w:tcPr>
            <w:tcW w:w="1980" w:type="dxa"/>
            <w:vMerge/>
            <w:tcBorders>
              <w:left w:val="dotted" w:sz="4" w:space="0" w:color="auto"/>
              <w:right w:val="single" w:sz="4" w:space="0" w:color="auto"/>
            </w:tcBorders>
          </w:tcPr>
          <w:p w:rsidR="0056150B" w:rsidRDefault="0056150B" w:rsidP="00CC7541">
            <w:pPr>
              <w:rPr>
                <w:sz w:val="24"/>
                <w:szCs w:val="24"/>
              </w:rPr>
            </w:pPr>
          </w:p>
        </w:tc>
      </w:tr>
      <w:tr w:rsidR="0056150B" w:rsidTr="00EE4FE4">
        <w:trPr>
          <w:trHeight w:val="390"/>
        </w:trPr>
        <w:tc>
          <w:tcPr>
            <w:tcW w:w="10980" w:type="dxa"/>
            <w:gridSpan w:val="4"/>
            <w:tcBorders>
              <w:top w:val="dotted" w:sz="4" w:space="0" w:color="auto"/>
              <w:left w:val="single" w:sz="4" w:space="0" w:color="auto"/>
              <w:bottom w:val="dotted" w:sz="4" w:space="0" w:color="auto"/>
              <w:right w:val="dotted" w:sz="4" w:space="0" w:color="auto"/>
            </w:tcBorders>
          </w:tcPr>
          <w:p w:rsidR="0056150B" w:rsidRDefault="0056150B" w:rsidP="00A43CBC">
            <w:pPr>
              <w:rPr>
                <w:b/>
                <w:sz w:val="24"/>
                <w:szCs w:val="24"/>
              </w:rPr>
            </w:pPr>
            <w:r>
              <w:rPr>
                <w:b/>
                <w:sz w:val="24"/>
                <w:szCs w:val="24"/>
              </w:rPr>
              <w:t xml:space="preserve">Timeline: </w:t>
            </w:r>
            <w:r>
              <w:rPr>
                <w:sz w:val="24"/>
                <w:szCs w:val="24"/>
              </w:rPr>
              <w:t>Fall 2015</w:t>
            </w:r>
          </w:p>
        </w:tc>
        <w:tc>
          <w:tcPr>
            <w:tcW w:w="1980" w:type="dxa"/>
            <w:vMerge/>
            <w:tcBorders>
              <w:left w:val="dotted" w:sz="4" w:space="0" w:color="auto"/>
              <w:right w:val="single" w:sz="4" w:space="0" w:color="auto"/>
            </w:tcBorders>
          </w:tcPr>
          <w:p w:rsidR="0056150B" w:rsidRDefault="0056150B" w:rsidP="00CC7541">
            <w:pPr>
              <w:rPr>
                <w:sz w:val="24"/>
                <w:szCs w:val="24"/>
              </w:rPr>
            </w:pPr>
          </w:p>
        </w:tc>
      </w:tr>
      <w:tr w:rsidR="0056150B" w:rsidTr="00CC7541">
        <w:trPr>
          <w:trHeight w:val="390"/>
        </w:trPr>
        <w:tc>
          <w:tcPr>
            <w:tcW w:w="4590" w:type="dxa"/>
            <w:gridSpan w:val="2"/>
            <w:tcBorders>
              <w:top w:val="dotted" w:sz="4" w:space="0" w:color="auto"/>
              <w:left w:val="single" w:sz="4" w:space="0" w:color="auto"/>
              <w:bottom w:val="dotted" w:sz="4" w:space="0" w:color="auto"/>
              <w:right w:val="dotted" w:sz="4" w:space="0" w:color="auto"/>
            </w:tcBorders>
          </w:tcPr>
          <w:p w:rsidR="0056150B" w:rsidRDefault="0056150B" w:rsidP="00CC7541">
            <w:pPr>
              <w:rPr>
                <w:b/>
                <w:sz w:val="24"/>
                <w:szCs w:val="24"/>
              </w:rPr>
            </w:pPr>
            <w:r>
              <w:rPr>
                <w:b/>
                <w:sz w:val="24"/>
                <w:szCs w:val="24"/>
              </w:rPr>
              <w:t>Expense Type</w:t>
            </w:r>
          </w:p>
        </w:tc>
        <w:tc>
          <w:tcPr>
            <w:tcW w:w="3600" w:type="dxa"/>
            <w:tcBorders>
              <w:top w:val="dotted" w:sz="4" w:space="0" w:color="auto"/>
              <w:left w:val="single" w:sz="4" w:space="0" w:color="auto"/>
              <w:right w:val="dotted" w:sz="4" w:space="0" w:color="auto"/>
            </w:tcBorders>
          </w:tcPr>
          <w:p w:rsidR="0056150B" w:rsidRDefault="0056150B"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56150B" w:rsidRDefault="0056150B"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56150B" w:rsidRDefault="0056150B" w:rsidP="00CC7541">
            <w:pPr>
              <w:rPr>
                <w:sz w:val="24"/>
                <w:szCs w:val="24"/>
              </w:rPr>
            </w:pPr>
          </w:p>
        </w:tc>
      </w:tr>
      <w:tr w:rsidR="0056150B" w:rsidTr="00CC7541">
        <w:trPr>
          <w:trHeight w:val="674"/>
        </w:trPr>
        <w:tc>
          <w:tcPr>
            <w:tcW w:w="4590" w:type="dxa"/>
            <w:gridSpan w:val="2"/>
            <w:tcBorders>
              <w:top w:val="dotted" w:sz="4" w:space="0" w:color="auto"/>
              <w:left w:val="single" w:sz="4" w:space="0" w:color="auto"/>
              <w:bottom w:val="dotted" w:sz="4" w:space="0" w:color="auto"/>
              <w:right w:val="dotted" w:sz="4" w:space="0" w:color="auto"/>
            </w:tcBorders>
          </w:tcPr>
          <w:p w:rsidR="0056150B" w:rsidRDefault="0056150B"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 xml:space="preserve"> </w:t>
            </w:r>
            <w:r w:rsidRPr="005707F9">
              <w:rPr>
                <w:sz w:val="24"/>
                <w:szCs w:val="24"/>
              </w:rPr>
              <w:t>O</w:t>
            </w:r>
            <w:r>
              <w:rPr>
                <w:sz w:val="24"/>
                <w:szCs w:val="24"/>
              </w:rPr>
              <w:t>ne-Time</w:t>
            </w:r>
          </w:p>
          <w:p w:rsidR="0056150B" w:rsidRPr="005707F9" w:rsidRDefault="0056150B" w:rsidP="0056150B">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w:t>
            </w:r>
            <w:r w:rsidRPr="005707F9">
              <w:rPr>
                <w:sz w:val="24"/>
                <w:szCs w:val="24"/>
              </w:rPr>
              <w:t xml:space="preserve"> </w:t>
            </w:r>
            <w:r>
              <w:rPr>
                <w:sz w:val="24"/>
                <w:szCs w:val="24"/>
              </w:rPr>
              <w:t>Recurring</w:t>
            </w:r>
          </w:p>
        </w:tc>
        <w:tc>
          <w:tcPr>
            <w:tcW w:w="3600" w:type="dxa"/>
            <w:tcBorders>
              <w:left w:val="single" w:sz="4" w:space="0" w:color="auto"/>
              <w:bottom w:val="dotted" w:sz="4" w:space="0" w:color="auto"/>
              <w:right w:val="dotted" w:sz="4" w:space="0" w:color="auto"/>
            </w:tcBorders>
          </w:tcPr>
          <w:p w:rsidR="0056150B" w:rsidRDefault="0056150B"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56150B" w:rsidRPr="005707F9" w:rsidRDefault="0056150B" w:rsidP="0056150B">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left w:val="single" w:sz="4" w:space="0" w:color="auto"/>
              <w:bottom w:val="dotted" w:sz="4" w:space="0" w:color="auto"/>
              <w:right w:val="dotted" w:sz="4" w:space="0" w:color="auto"/>
            </w:tcBorders>
          </w:tcPr>
          <w:p w:rsidR="0056150B" w:rsidRDefault="0056150B"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56150B" w:rsidRDefault="0056150B" w:rsidP="00CC7541">
            <w:pPr>
              <w:rPr>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613585" w:rsidRDefault="00FE1500" w:rsidP="0056150B">
            <w:pPr>
              <w:rPr>
                <w:b/>
                <w:sz w:val="24"/>
                <w:szCs w:val="24"/>
              </w:rPr>
            </w:pPr>
            <w:r>
              <w:rPr>
                <w:b/>
                <w:sz w:val="24"/>
                <w:szCs w:val="24"/>
              </w:rPr>
              <w:t>How will this objective be measured?</w:t>
            </w:r>
            <w:r w:rsidR="0056150B">
              <w:rPr>
                <w:bCs/>
                <w:sz w:val="24"/>
                <w:szCs w:val="24"/>
              </w:rPr>
              <w:t xml:space="preserve">  O</w:t>
            </w:r>
            <w:r w:rsidR="00A43CBC">
              <w:rPr>
                <w:sz w:val="24"/>
                <w:szCs w:val="24"/>
              </w:rPr>
              <w:t>nline course is available to students</w:t>
            </w:r>
            <w:r w:rsidR="0056150B">
              <w:rPr>
                <w:sz w:val="24"/>
                <w:szCs w:val="24"/>
              </w:rPr>
              <w:t>.</w:t>
            </w:r>
          </w:p>
          <w:p w:rsidR="00FE1500" w:rsidRPr="00663FC5" w:rsidRDefault="00FE1500" w:rsidP="00CC7541">
            <w:pPr>
              <w:rPr>
                <w:b/>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the completion of tasks identified improve student/program success? </w:t>
            </w:r>
            <w:r w:rsidR="0056150B">
              <w:rPr>
                <w:b/>
                <w:sz w:val="24"/>
                <w:szCs w:val="24"/>
              </w:rPr>
              <w:t xml:space="preserve"> </w:t>
            </w:r>
            <w:r w:rsidR="006B3918">
              <w:rPr>
                <w:sz w:val="24"/>
                <w:szCs w:val="24"/>
              </w:rPr>
              <w:t xml:space="preserve">The completion of this task will help working and disabled students access classes.   </w:t>
            </w:r>
          </w:p>
          <w:p w:rsidR="00FE1500" w:rsidRDefault="00FE1500" w:rsidP="00CC7541">
            <w:pPr>
              <w:rPr>
                <w:b/>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lastRenderedPageBreak/>
              <w:t>Who are the responsible party(</w:t>
            </w:r>
            <w:proofErr w:type="spellStart"/>
            <w:r>
              <w:rPr>
                <w:b/>
                <w:sz w:val="24"/>
                <w:szCs w:val="24"/>
              </w:rPr>
              <w:t>ies</w:t>
            </w:r>
            <w:proofErr w:type="spellEnd"/>
            <w:r>
              <w:rPr>
                <w:b/>
                <w:sz w:val="24"/>
                <w:szCs w:val="24"/>
              </w:rPr>
              <w:t xml:space="preserve">) and assigned user(s)? </w:t>
            </w:r>
            <w:r w:rsidR="0056150B">
              <w:rPr>
                <w:b/>
                <w:sz w:val="24"/>
                <w:szCs w:val="24"/>
              </w:rPr>
              <w:t xml:space="preserve"> </w:t>
            </w:r>
            <w:r w:rsidR="006B3918">
              <w:rPr>
                <w:sz w:val="24"/>
                <w:szCs w:val="24"/>
              </w:rPr>
              <w:t>Aaron S. Edwards</w:t>
            </w:r>
          </w:p>
          <w:p w:rsidR="00FE1500" w:rsidRDefault="00FE1500" w:rsidP="00CC7541">
            <w:pPr>
              <w:rPr>
                <w:b/>
                <w:sz w:val="24"/>
                <w:szCs w:val="24"/>
              </w:rPr>
            </w:pPr>
          </w:p>
        </w:tc>
      </w:tr>
    </w:tbl>
    <w:p w:rsidR="00913438" w:rsidRDefault="00913438" w:rsidP="00A615C4">
      <w:pPr>
        <w:pStyle w:val="ListParagraph"/>
        <w:keepLines/>
        <w:spacing w:after="0" w:line="240" w:lineRule="auto"/>
        <w:ind w:left="1080"/>
        <w:rPr>
          <w:b/>
          <w:sz w:val="32"/>
          <w:szCs w:val="32"/>
        </w:rPr>
      </w:pPr>
    </w:p>
    <w:sectPr w:rsidR="00913438" w:rsidSect="002B1890">
      <w:footerReference w:type="default" r:id="rId9"/>
      <w:pgSz w:w="15840" w:h="12240" w:orient="landscape" w:code="1"/>
      <w:pgMar w:top="1008"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ED" w:rsidRDefault="00933BED" w:rsidP="00C269D2">
      <w:pPr>
        <w:spacing w:after="0" w:line="240" w:lineRule="auto"/>
      </w:pPr>
      <w:r>
        <w:separator/>
      </w:r>
    </w:p>
  </w:endnote>
  <w:endnote w:type="continuationSeparator" w:id="0">
    <w:p w:rsidR="00933BED" w:rsidRDefault="00933BED" w:rsidP="00C26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Plump M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nard MT Condensed">
    <w:altName w:val="Bookman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A6F" w:rsidRDefault="00161A6F">
    <w:pPr>
      <w:pStyle w:val="Footer"/>
      <w:rPr>
        <w:color w:val="000000" w:themeColor="text1"/>
        <w:sz w:val="24"/>
        <w:szCs w:val="24"/>
      </w:rPr>
    </w:pPr>
    <w:r>
      <w:rPr>
        <w:color w:val="000000" w:themeColor="text1"/>
        <w:sz w:val="24"/>
        <w:szCs w:val="24"/>
      </w:rPr>
      <w:t>Academic Program Review</w:t>
    </w:r>
  </w:p>
  <w:p w:rsidR="00161A6F" w:rsidRDefault="00161A6F">
    <w:pPr>
      <w:pStyle w:val="Footer"/>
    </w:pPr>
    <w:r>
      <w:rPr>
        <w:color w:val="000000" w:themeColor="text1"/>
        <w:sz w:val="18"/>
        <w:szCs w:val="24"/>
      </w:rPr>
      <w:t>08/15/2014</w:t>
    </w:r>
    <w:r w:rsidR="00B6242E">
      <w:rPr>
        <w:noProof/>
      </w:rPr>
      <w:pict>
        <v:shapetype id="_x0000_t202" coordsize="21600,21600" o:spt="202" path="m,l,21600r21600,l21600,xe">
          <v:stroke joinstyle="miter"/>
          <v:path gradientshapeok="t" o:connecttype="rect"/>
        </v:shapetype>
        <v:shape id="Text Box 56" o:spid="_x0000_s6146" type="#_x0000_t202" style="position:absolute;margin-left:146.4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161A6F" w:rsidRDefault="00B6242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161A6F">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13B63">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sidR="00B6242E" w:rsidRPr="00B6242E">
      <w:rPr>
        <w:noProof/>
        <w:color w:val="4F81BD" w:themeColor="accent1"/>
      </w:rPr>
      <w:pict>
        <v:rect id="Rectangle 58" o:spid="_x0000_s6145"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" fillcolor="#4f81bd [3204]" stroked="f" strokeweight="2pt">
          <v:path arrowok="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ED" w:rsidRDefault="00933BED" w:rsidP="00C269D2">
      <w:pPr>
        <w:spacing w:after="0" w:line="240" w:lineRule="auto"/>
      </w:pPr>
      <w:r>
        <w:separator/>
      </w:r>
    </w:p>
  </w:footnote>
  <w:footnote w:type="continuationSeparator" w:id="0">
    <w:p w:rsidR="00933BED" w:rsidRDefault="00933BED" w:rsidP="00C269D2">
      <w:pPr>
        <w:spacing w:after="0" w:line="240" w:lineRule="auto"/>
      </w:pPr>
      <w:r>
        <w:continuationSeparator/>
      </w:r>
    </w:p>
  </w:footnote>
  <w:footnote w:id="1">
    <w:p w:rsidR="00161A6F" w:rsidRDefault="00161A6F">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7"/>
  </w:num>
  <w:num w:numId="17">
    <w:abstractNumId w:val="20"/>
  </w:num>
  <w:num w:numId="18">
    <w:abstractNumId w:val="33"/>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5"/>
  </w:num>
  <w:num w:numId="27">
    <w:abstractNumId w:val="13"/>
  </w:num>
  <w:num w:numId="28">
    <w:abstractNumId w:val="31"/>
  </w:num>
  <w:num w:numId="29">
    <w:abstractNumId w:val="34"/>
  </w:num>
  <w:num w:numId="30">
    <w:abstractNumId w:val="21"/>
  </w:num>
  <w:num w:numId="31">
    <w:abstractNumId w:val="32"/>
  </w:num>
  <w:num w:numId="32">
    <w:abstractNumId w:val="28"/>
  </w:num>
  <w:num w:numId="33">
    <w:abstractNumId w:val="23"/>
  </w:num>
  <w:num w:numId="34">
    <w:abstractNumId w:val="7"/>
  </w:num>
  <w:num w:numId="35">
    <w:abstractNumId w:val="36"/>
  </w:num>
  <w:num w:numId="36">
    <w:abstractNumId w:val="0"/>
  </w:num>
  <w:num w:numId="37">
    <w:abstractNumId w:val="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3F23"/>
    <w:rsid w:val="00081A8E"/>
    <w:rsid w:val="00085642"/>
    <w:rsid w:val="000A2181"/>
    <w:rsid w:val="000A56FF"/>
    <w:rsid w:val="000B4ECC"/>
    <w:rsid w:val="000C3BC9"/>
    <w:rsid w:val="000D01C8"/>
    <w:rsid w:val="000F7EED"/>
    <w:rsid w:val="00110022"/>
    <w:rsid w:val="001276CD"/>
    <w:rsid w:val="0013472B"/>
    <w:rsid w:val="001471B3"/>
    <w:rsid w:val="00153AAF"/>
    <w:rsid w:val="00161A08"/>
    <w:rsid w:val="00161A6F"/>
    <w:rsid w:val="001824BF"/>
    <w:rsid w:val="00185B97"/>
    <w:rsid w:val="001B0E63"/>
    <w:rsid w:val="001B3E09"/>
    <w:rsid w:val="001C0FA5"/>
    <w:rsid w:val="001C31AE"/>
    <w:rsid w:val="001C394F"/>
    <w:rsid w:val="001C4679"/>
    <w:rsid w:val="001C6B1A"/>
    <w:rsid w:val="00203937"/>
    <w:rsid w:val="0021103C"/>
    <w:rsid w:val="00211B80"/>
    <w:rsid w:val="002211F2"/>
    <w:rsid w:val="00222E0B"/>
    <w:rsid w:val="00223F78"/>
    <w:rsid w:val="00227FAE"/>
    <w:rsid w:val="0023193A"/>
    <w:rsid w:val="002423D1"/>
    <w:rsid w:val="00242642"/>
    <w:rsid w:val="00251988"/>
    <w:rsid w:val="002521F9"/>
    <w:rsid w:val="00257C76"/>
    <w:rsid w:val="00266594"/>
    <w:rsid w:val="00271A0B"/>
    <w:rsid w:val="0027483A"/>
    <w:rsid w:val="0028431E"/>
    <w:rsid w:val="002B1890"/>
    <w:rsid w:val="002C7DC4"/>
    <w:rsid w:val="002D5944"/>
    <w:rsid w:val="002E4353"/>
    <w:rsid w:val="002F5CCA"/>
    <w:rsid w:val="003204B1"/>
    <w:rsid w:val="003222BD"/>
    <w:rsid w:val="0032294F"/>
    <w:rsid w:val="0033475C"/>
    <w:rsid w:val="00342EDD"/>
    <w:rsid w:val="003648E7"/>
    <w:rsid w:val="0038519F"/>
    <w:rsid w:val="00391312"/>
    <w:rsid w:val="0039232D"/>
    <w:rsid w:val="003A0610"/>
    <w:rsid w:val="003A1571"/>
    <w:rsid w:val="003B17D4"/>
    <w:rsid w:val="003F7DA7"/>
    <w:rsid w:val="004045C0"/>
    <w:rsid w:val="004111B8"/>
    <w:rsid w:val="00431DB3"/>
    <w:rsid w:val="00445124"/>
    <w:rsid w:val="004519FF"/>
    <w:rsid w:val="00455861"/>
    <w:rsid w:val="004578EE"/>
    <w:rsid w:val="0047062C"/>
    <w:rsid w:val="0049554C"/>
    <w:rsid w:val="004A2B92"/>
    <w:rsid w:val="004A7487"/>
    <w:rsid w:val="004B2E2D"/>
    <w:rsid w:val="004B7383"/>
    <w:rsid w:val="004C4E7F"/>
    <w:rsid w:val="004D4D45"/>
    <w:rsid w:val="004F1EA0"/>
    <w:rsid w:val="00541352"/>
    <w:rsid w:val="00543F36"/>
    <w:rsid w:val="00555678"/>
    <w:rsid w:val="00556AD5"/>
    <w:rsid w:val="0056150B"/>
    <w:rsid w:val="005707F9"/>
    <w:rsid w:val="0057128D"/>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33C95"/>
    <w:rsid w:val="00641AC9"/>
    <w:rsid w:val="00641F0C"/>
    <w:rsid w:val="006454E3"/>
    <w:rsid w:val="006460B3"/>
    <w:rsid w:val="0065718C"/>
    <w:rsid w:val="00663719"/>
    <w:rsid w:val="00670782"/>
    <w:rsid w:val="006854CC"/>
    <w:rsid w:val="00691A49"/>
    <w:rsid w:val="00694F4E"/>
    <w:rsid w:val="0069796F"/>
    <w:rsid w:val="006A7684"/>
    <w:rsid w:val="006B1E84"/>
    <w:rsid w:val="006B3918"/>
    <w:rsid w:val="006B712B"/>
    <w:rsid w:val="006C57BD"/>
    <w:rsid w:val="006C664D"/>
    <w:rsid w:val="006C7590"/>
    <w:rsid w:val="006D1137"/>
    <w:rsid w:val="006D1FC2"/>
    <w:rsid w:val="006D2FCF"/>
    <w:rsid w:val="006D4F29"/>
    <w:rsid w:val="006D7617"/>
    <w:rsid w:val="006F24F1"/>
    <w:rsid w:val="00700A8A"/>
    <w:rsid w:val="00707C2F"/>
    <w:rsid w:val="00713C87"/>
    <w:rsid w:val="0071593B"/>
    <w:rsid w:val="007250CF"/>
    <w:rsid w:val="00725D31"/>
    <w:rsid w:val="00730787"/>
    <w:rsid w:val="007440FF"/>
    <w:rsid w:val="007456FF"/>
    <w:rsid w:val="0074659D"/>
    <w:rsid w:val="00766C97"/>
    <w:rsid w:val="0079256B"/>
    <w:rsid w:val="007B215C"/>
    <w:rsid w:val="007B6E52"/>
    <w:rsid w:val="007C03A7"/>
    <w:rsid w:val="007D1955"/>
    <w:rsid w:val="007E4294"/>
    <w:rsid w:val="007F00B5"/>
    <w:rsid w:val="007F1BF9"/>
    <w:rsid w:val="00800B1E"/>
    <w:rsid w:val="008060FF"/>
    <w:rsid w:val="008062A4"/>
    <w:rsid w:val="008132B4"/>
    <w:rsid w:val="00827180"/>
    <w:rsid w:val="00830EAF"/>
    <w:rsid w:val="008370D5"/>
    <w:rsid w:val="00845E03"/>
    <w:rsid w:val="00845F64"/>
    <w:rsid w:val="0085021D"/>
    <w:rsid w:val="00875F92"/>
    <w:rsid w:val="00884D0C"/>
    <w:rsid w:val="00885966"/>
    <w:rsid w:val="008A48AC"/>
    <w:rsid w:val="008E5C12"/>
    <w:rsid w:val="008E6322"/>
    <w:rsid w:val="008F1519"/>
    <w:rsid w:val="008F6DD3"/>
    <w:rsid w:val="00913438"/>
    <w:rsid w:val="00922886"/>
    <w:rsid w:val="00933BED"/>
    <w:rsid w:val="00937B09"/>
    <w:rsid w:val="0094250C"/>
    <w:rsid w:val="009441D9"/>
    <w:rsid w:val="00944407"/>
    <w:rsid w:val="00946D62"/>
    <w:rsid w:val="00970731"/>
    <w:rsid w:val="0097680B"/>
    <w:rsid w:val="00980E0C"/>
    <w:rsid w:val="00987B31"/>
    <w:rsid w:val="009968E8"/>
    <w:rsid w:val="009A1ADE"/>
    <w:rsid w:val="009D0246"/>
    <w:rsid w:val="009D3A48"/>
    <w:rsid w:val="009E72FB"/>
    <w:rsid w:val="009F08F0"/>
    <w:rsid w:val="009F2713"/>
    <w:rsid w:val="00A2467D"/>
    <w:rsid w:val="00A257C2"/>
    <w:rsid w:val="00A30A84"/>
    <w:rsid w:val="00A43CBC"/>
    <w:rsid w:val="00A45741"/>
    <w:rsid w:val="00A615C4"/>
    <w:rsid w:val="00A62DE0"/>
    <w:rsid w:val="00A651CD"/>
    <w:rsid w:val="00A91DC4"/>
    <w:rsid w:val="00A95A5F"/>
    <w:rsid w:val="00AA0C9C"/>
    <w:rsid w:val="00AA4E8F"/>
    <w:rsid w:val="00AA50E5"/>
    <w:rsid w:val="00AD4987"/>
    <w:rsid w:val="00AE0185"/>
    <w:rsid w:val="00AE599F"/>
    <w:rsid w:val="00AE5C40"/>
    <w:rsid w:val="00B05E52"/>
    <w:rsid w:val="00B13B63"/>
    <w:rsid w:val="00B146E2"/>
    <w:rsid w:val="00B221A1"/>
    <w:rsid w:val="00B25FA2"/>
    <w:rsid w:val="00B30971"/>
    <w:rsid w:val="00B6242E"/>
    <w:rsid w:val="00B7127A"/>
    <w:rsid w:val="00B7252F"/>
    <w:rsid w:val="00B91965"/>
    <w:rsid w:val="00BA0153"/>
    <w:rsid w:val="00BA22FE"/>
    <w:rsid w:val="00BA2412"/>
    <w:rsid w:val="00BA2EC9"/>
    <w:rsid w:val="00BA484C"/>
    <w:rsid w:val="00BA6DB6"/>
    <w:rsid w:val="00BD2BA5"/>
    <w:rsid w:val="00BD5E72"/>
    <w:rsid w:val="00BF037A"/>
    <w:rsid w:val="00C059EE"/>
    <w:rsid w:val="00C0717C"/>
    <w:rsid w:val="00C15830"/>
    <w:rsid w:val="00C269D2"/>
    <w:rsid w:val="00C32B0F"/>
    <w:rsid w:val="00C34C62"/>
    <w:rsid w:val="00C3746B"/>
    <w:rsid w:val="00C521EC"/>
    <w:rsid w:val="00C557F5"/>
    <w:rsid w:val="00C61A1E"/>
    <w:rsid w:val="00C621EA"/>
    <w:rsid w:val="00C9513F"/>
    <w:rsid w:val="00CA3D02"/>
    <w:rsid w:val="00CB229C"/>
    <w:rsid w:val="00CB6263"/>
    <w:rsid w:val="00CC408C"/>
    <w:rsid w:val="00CC5AEE"/>
    <w:rsid w:val="00CC7541"/>
    <w:rsid w:val="00CD2EEA"/>
    <w:rsid w:val="00CD76AB"/>
    <w:rsid w:val="00CE0BF9"/>
    <w:rsid w:val="00CE78BF"/>
    <w:rsid w:val="00CF1504"/>
    <w:rsid w:val="00D001FF"/>
    <w:rsid w:val="00D13C67"/>
    <w:rsid w:val="00D140DE"/>
    <w:rsid w:val="00D14F76"/>
    <w:rsid w:val="00D46DD5"/>
    <w:rsid w:val="00D52796"/>
    <w:rsid w:val="00D57B95"/>
    <w:rsid w:val="00D6026F"/>
    <w:rsid w:val="00D67F65"/>
    <w:rsid w:val="00D7054E"/>
    <w:rsid w:val="00D84502"/>
    <w:rsid w:val="00D847BE"/>
    <w:rsid w:val="00D9584C"/>
    <w:rsid w:val="00D95CD2"/>
    <w:rsid w:val="00D976AD"/>
    <w:rsid w:val="00DC09C6"/>
    <w:rsid w:val="00DD2F05"/>
    <w:rsid w:val="00DD6F85"/>
    <w:rsid w:val="00DD7454"/>
    <w:rsid w:val="00DF3CFB"/>
    <w:rsid w:val="00DF4352"/>
    <w:rsid w:val="00E30001"/>
    <w:rsid w:val="00E3356B"/>
    <w:rsid w:val="00E364FB"/>
    <w:rsid w:val="00E50713"/>
    <w:rsid w:val="00E63051"/>
    <w:rsid w:val="00E87BA0"/>
    <w:rsid w:val="00E948C7"/>
    <w:rsid w:val="00EE4FE4"/>
    <w:rsid w:val="00EE687C"/>
    <w:rsid w:val="00EF1EC8"/>
    <w:rsid w:val="00EF4BD8"/>
    <w:rsid w:val="00F05B37"/>
    <w:rsid w:val="00F072A5"/>
    <w:rsid w:val="00F174C8"/>
    <w:rsid w:val="00F2746A"/>
    <w:rsid w:val="00F60651"/>
    <w:rsid w:val="00F84054"/>
    <w:rsid w:val="00FB2B8C"/>
    <w:rsid w:val="00FB7280"/>
    <w:rsid w:val="00FC2EBE"/>
    <w:rsid w:val="00FC5FB4"/>
    <w:rsid w:val="00FD0B74"/>
    <w:rsid w:val="00FD66D9"/>
    <w:rsid w:val="00FE1500"/>
    <w:rsid w:val="00FE59AD"/>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TableGrid1">
    <w:name w:val="Table Grid1"/>
    <w:rsid w:val="001276CD"/>
    <w:pPr>
      <w:spacing w:after="0" w:line="240" w:lineRule="auto"/>
    </w:pPr>
    <w:rPr>
      <w:rFonts w:ascii="Lucida Grande" w:eastAsia="ヒラギノ角ゴ Pro W3" w:hAnsi="Lucida Grande"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TableGrid1">
    <w:name w:val="Table Grid1"/>
    <w:rsid w:val="001276CD"/>
    <w:pPr>
      <w:spacing w:after="0" w:line="240" w:lineRule="auto"/>
    </w:pPr>
    <w:rPr>
      <w:rFonts w:ascii="Lucida Grande" w:eastAsia="ヒラギノ角ゴ Pro W3" w:hAnsi="Lucida Grande"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9D44-0CE2-4463-92A2-CFD61329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7</cp:revision>
  <cp:lastPrinted>2014-08-21T22:08:00Z</cp:lastPrinted>
  <dcterms:created xsi:type="dcterms:W3CDTF">2014-09-29T16:26:00Z</dcterms:created>
  <dcterms:modified xsi:type="dcterms:W3CDTF">2014-10-04T13:13:00Z</dcterms:modified>
</cp:coreProperties>
</file>