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D" w:rsidRDefault="003222BD" w:rsidP="00043E27">
      <w:pPr>
        <w:spacing w:after="0" w:line="240" w:lineRule="auto"/>
        <w:ind w:firstLine="720"/>
        <w:jc w:val="center"/>
        <w:rPr>
          <w:rFonts w:ascii="Plump MT" w:hAnsi="Plump MT"/>
          <w:sz w:val="52"/>
          <w:szCs w:val="52"/>
        </w:rPr>
      </w:pPr>
    </w:p>
    <w:p w:rsidR="003222BD" w:rsidRDefault="003222BD" w:rsidP="00043E27">
      <w:pPr>
        <w:spacing w:after="0" w:line="240" w:lineRule="auto"/>
        <w:ind w:firstLine="720"/>
        <w:jc w:val="center"/>
        <w:rPr>
          <w:rFonts w:ascii="Plump MT" w:hAnsi="Plump MT"/>
          <w:sz w:val="52"/>
          <w:szCs w:val="52"/>
        </w:rPr>
      </w:pPr>
    </w:p>
    <w:p w:rsidR="0079256B" w:rsidRPr="00043E27" w:rsidRDefault="00CD2CA9" w:rsidP="00043E27">
      <w:pPr>
        <w:spacing w:after="0" w:line="240" w:lineRule="auto"/>
        <w:ind w:firstLine="720"/>
        <w:jc w:val="center"/>
        <w:rPr>
          <w:rFonts w:ascii="Plump MT" w:hAnsi="Plump MT"/>
          <w:sz w:val="52"/>
          <w:szCs w:val="52"/>
        </w:rPr>
      </w:pPr>
      <w:r>
        <w:rPr>
          <w:rFonts w:ascii="Plump MT" w:hAnsi="Plump MT"/>
          <w:noProof/>
          <w:sz w:val="52"/>
          <w:szCs w:val="52"/>
        </w:rPr>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8A1D94" w:rsidRDefault="008A1D94">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2812"/>
        <w:gridCol w:w="6755"/>
      </w:tblGrid>
      <w:tr w:rsidR="000403F6" w:rsidTr="0021103C">
        <w:trPr>
          <w:trHeight w:val="623"/>
        </w:trPr>
        <w:tc>
          <w:tcPr>
            <w:tcW w:w="3393"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rsidR="000403F6" w:rsidRDefault="006A3883" w:rsidP="007E4294">
            <w:pPr>
              <w:rPr>
                <w:sz w:val="24"/>
                <w:szCs w:val="24"/>
              </w:rPr>
            </w:pPr>
            <w:r>
              <w:rPr>
                <w:sz w:val="24"/>
                <w:szCs w:val="24"/>
              </w:rPr>
              <w:t>2013-2014</w:t>
            </w:r>
          </w:p>
        </w:tc>
        <w:tc>
          <w:tcPr>
            <w:tcW w:w="6755" w:type="dxa"/>
            <w:vAlign w:val="center"/>
          </w:tcPr>
          <w:p w:rsidR="000403F6" w:rsidRDefault="00F21AAB" w:rsidP="00DE05AB">
            <w:pPr>
              <w:rPr>
                <w:sz w:val="24"/>
                <w:szCs w:val="24"/>
              </w:rPr>
            </w:pPr>
            <w:r>
              <w:rPr>
                <w:sz w:val="24"/>
                <w:szCs w:val="24"/>
              </w:rPr>
              <w:fldChar w:fldCharType="begin">
                <w:ffData>
                  <w:name w:val="Check7"/>
                  <w:enabled/>
                  <w:calcOnExit w:val="0"/>
                  <w:checkBox>
                    <w:sizeAuto/>
                    <w:default w:val="0"/>
                  </w:checkBox>
                </w:ffData>
              </w:fldChar>
            </w:r>
            <w:bookmarkStart w:id="0" w:name="Check7"/>
            <w:r w:rsidR="00BA0153">
              <w:rPr>
                <w:sz w:val="24"/>
                <w:szCs w:val="24"/>
              </w:rPr>
              <w:instrText xml:space="preserve"> FORMCHECKBOX </w:instrText>
            </w:r>
            <w:r>
              <w:rPr>
                <w:sz w:val="24"/>
                <w:szCs w:val="24"/>
              </w:rPr>
            </w:r>
            <w:r>
              <w:rPr>
                <w:sz w:val="24"/>
                <w:szCs w:val="24"/>
              </w:rPr>
              <w:fldChar w:fldCharType="end"/>
            </w:r>
            <w:bookmarkEnd w:id="0"/>
            <w:r w:rsidR="00153AAF">
              <w:rPr>
                <w:sz w:val="24"/>
                <w:szCs w:val="24"/>
              </w:rPr>
              <w:t xml:space="preserve"> </w:t>
            </w:r>
            <w:r w:rsidR="00BA22FE">
              <w:rPr>
                <w:sz w:val="24"/>
                <w:szCs w:val="24"/>
              </w:rPr>
              <w:t>Basic Skills</w:t>
            </w:r>
            <w:r w:rsidR="00271A0B">
              <w:rPr>
                <w:sz w:val="24"/>
                <w:szCs w:val="24"/>
              </w:rPr>
              <w:t xml:space="preserve">   </w:t>
            </w:r>
            <w:bookmarkStart w:id="1" w:name="Check8"/>
            <w:r w:rsidR="00DE05AB">
              <w:rPr>
                <w:sz w:val="24"/>
                <w:szCs w:val="24"/>
              </w:rPr>
              <w:fldChar w:fldCharType="begin">
                <w:ffData>
                  <w:name w:val="Check8"/>
                  <w:enabled/>
                  <w:calcOnExit w:val="0"/>
                  <w:checkBox>
                    <w:sizeAuto/>
                    <w:default w:val="1"/>
                  </w:checkBox>
                </w:ffData>
              </w:fldChar>
            </w:r>
            <w:r w:rsidR="00DE05AB">
              <w:rPr>
                <w:sz w:val="24"/>
                <w:szCs w:val="24"/>
              </w:rPr>
              <w:instrText xml:space="preserve"> FORMCHECKBOX </w:instrText>
            </w:r>
            <w:r w:rsidR="00DE05AB">
              <w:rPr>
                <w:sz w:val="24"/>
                <w:szCs w:val="24"/>
              </w:rPr>
            </w:r>
            <w:r w:rsidR="00DE05AB">
              <w:rPr>
                <w:sz w:val="24"/>
                <w:szCs w:val="24"/>
              </w:rPr>
              <w:fldChar w:fldCharType="end"/>
            </w:r>
            <w:bookmarkEnd w:id="1"/>
            <w:r w:rsidR="00046042">
              <w:rPr>
                <w:sz w:val="24"/>
                <w:szCs w:val="24"/>
              </w:rPr>
              <w:t xml:space="preserve"> </w:t>
            </w:r>
            <w:r w:rsidR="000403F6" w:rsidRPr="001C394F">
              <w:rPr>
                <w:sz w:val="24"/>
                <w:szCs w:val="24"/>
              </w:rPr>
              <w:t>Transfer</w:t>
            </w:r>
            <w:r w:rsidR="00271A0B">
              <w:rPr>
                <w:sz w:val="24"/>
                <w:szCs w:val="24"/>
              </w:rPr>
              <w:t xml:space="preserve">   </w:t>
            </w:r>
            <w:r>
              <w:rPr>
                <w:sz w:val="24"/>
                <w:szCs w:val="24"/>
              </w:rPr>
              <w:fldChar w:fldCharType="begin">
                <w:ffData>
                  <w:name w:val="Check9"/>
                  <w:enabled/>
                  <w:calcOnExit w:val="0"/>
                  <w:checkBox>
                    <w:sizeAuto/>
                    <w:default w:val="0"/>
                  </w:checkBox>
                </w:ffData>
              </w:fldChar>
            </w:r>
            <w:bookmarkStart w:id="2" w:name="Check9"/>
            <w:r w:rsidR="00BA0153">
              <w:rPr>
                <w:sz w:val="24"/>
                <w:szCs w:val="24"/>
              </w:rPr>
              <w:instrText xml:space="preserve"> FORMCHECKBOX </w:instrText>
            </w:r>
            <w:r>
              <w:rPr>
                <w:sz w:val="24"/>
                <w:szCs w:val="24"/>
              </w:rPr>
            </w:r>
            <w:r>
              <w:rPr>
                <w:sz w:val="24"/>
                <w:szCs w:val="24"/>
              </w:rPr>
              <w:fldChar w:fldCharType="end"/>
            </w:r>
            <w:bookmarkEnd w:id="2"/>
            <w:r w:rsidR="00046042">
              <w:rPr>
                <w:sz w:val="24"/>
                <w:szCs w:val="24"/>
              </w:rPr>
              <w:t xml:space="preserve"> </w:t>
            </w:r>
            <w:r w:rsidR="00271A0B">
              <w:rPr>
                <w:sz w:val="24"/>
                <w:szCs w:val="24"/>
              </w:rPr>
              <w:t>Career Technical Education (CTE)</w:t>
            </w:r>
          </w:p>
        </w:tc>
      </w:tr>
      <w:tr w:rsidR="000403F6" w:rsidTr="0021103C">
        <w:trPr>
          <w:trHeight w:val="623"/>
        </w:trPr>
        <w:tc>
          <w:tcPr>
            <w:tcW w:w="3393" w:type="dxa"/>
            <w:vAlign w:val="center"/>
          </w:tcPr>
          <w:p w:rsidR="003222BD" w:rsidRDefault="000403F6" w:rsidP="00AE599F">
            <w:pPr>
              <w:rPr>
                <w:b/>
                <w:sz w:val="32"/>
                <w:szCs w:val="32"/>
              </w:rPr>
            </w:pPr>
            <w:r>
              <w:rPr>
                <w:b/>
                <w:sz w:val="32"/>
                <w:szCs w:val="32"/>
              </w:rPr>
              <w:t>PROGRAM</w:t>
            </w:r>
          </w:p>
        </w:tc>
        <w:tc>
          <w:tcPr>
            <w:tcW w:w="9567" w:type="dxa"/>
            <w:gridSpan w:val="2"/>
            <w:vAlign w:val="center"/>
          </w:tcPr>
          <w:p w:rsidR="000403F6" w:rsidRPr="001C394F" w:rsidRDefault="006A3883" w:rsidP="004B7383">
            <w:pPr>
              <w:rPr>
                <w:sz w:val="24"/>
                <w:szCs w:val="24"/>
              </w:rPr>
            </w:pPr>
            <w:r>
              <w:rPr>
                <w:sz w:val="24"/>
                <w:szCs w:val="24"/>
              </w:rPr>
              <w:t>American Sign</w:t>
            </w:r>
            <w:r w:rsidR="00884601">
              <w:rPr>
                <w:sz w:val="24"/>
                <w:szCs w:val="24"/>
              </w:rPr>
              <w:t xml:space="preserve"> Language </w:t>
            </w:r>
            <w:bookmarkStart w:id="3" w:name="_GoBack"/>
            <w:bookmarkEnd w:id="3"/>
          </w:p>
        </w:tc>
      </w:tr>
      <w:tr w:rsidR="005B2E09" w:rsidTr="0021103C">
        <w:trPr>
          <w:trHeight w:val="710"/>
        </w:trPr>
        <w:tc>
          <w:tcPr>
            <w:tcW w:w="3393" w:type="dxa"/>
            <w:vAlign w:val="center"/>
          </w:tcPr>
          <w:p w:rsidR="005B2E09" w:rsidRDefault="005B2E09" w:rsidP="00AE599F">
            <w:pPr>
              <w:rPr>
                <w:b/>
                <w:sz w:val="32"/>
                <w:szCs w:val="32"/>
              </w:rPr>
            </w:pPr>
            <w:r>
              <w:rPr>
                <w:b/>
                <w:sz w:val="32"/>
                <w:szCs w:val="32"/>
              </w:rPr>
              <w:t>DESCRIPTION/PURPOSE</w:t>
            </w:r>
          </w:p>
        </w:tc>
        <w:tc>
          <w:tcPr>
            <w:tcW w:w="9567" w:type="dxa"/>
            <w:gridSpan w:val="2"/>
            <w:vAlign w:val="center"/>
          </w:tcPr>
          <w:p w:rsidR="005B2E09" w:rsidRDefault="006A3883" w:rsidP="004B7383">
            <w:pPr>
              <w:rPr>
                <w:sz w:val="24"/>
                <w:szCs w:val="24"/>
              </w:rPr>
            </w:pPr>
            <w:r>
              <w:rPr>
                <w:sz w:val="24"/>
                <w:szCs w:val="24"/>
              </w:rPr>
              <w:t>Acquisition and fluency in American Sign Language, and knowledge of the American Deaf culture.</w:t>
            </w:r>
          </w:p>
        </w:tc>
      </w:tr>
      <w:tr w:rsidR="000403F6" w:rsidTr="0021103C">
        <w:trPr>
          <w:trHeight w:val="623"/>
        </w:trPr>
        <w:tc>
          <w:tcPr>
            <w:tcW w:w="3393" w:type="dxa"/>
            <w:vAlign w:val="center"/>
          </w:tcPr>
          <w:p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rsidR="000403F6" w:rsidRPr="001C394F" w:rsidRDefault="006A3883" w:rsidP="004B7383">
            <w:pPr>
              <w:rPr>
                <w:sz w:val="24"/>
                <w:szCs w:val="24"/>
              </w:rPr>
            </w:pPr>
            <w:r>
              <w:rPr>
                <w:sz w:val="24"/>
                <w:szCs w:val="24"/>
              </w:rPr>
              <w:t>Arts, Letters, and Learning Services</w:t>
            </w:r>
          </w:p>
        </w:tc>
      </w:tr>
      <w:tr w:rsidR="000403F6" w:rsidTr="0021103C">
        <w:trPr>
          <w:trHeight w:val="623"/>
        </w:trPr>
        <w:tc>
          <w:tcPr>
            <w:tcW w:w="3393" w:type="dxa"/>
            <w:vAlign w:val="center"/>
          </w:tcPr>
          <w:p w:rsidR="000403F6" w:rsidRDefault="0021103C" w:rsidP="0021103C">
            <w:pPr>
              <w:rPr>
                <w:b/>
                <w:sz w:val="32"/>
                <w:szCs w:val="32"/>
              </w:rPr>
            </w:pPr>
            <w:r>
              <w:rPr>
                <w:b/>
                <w:sz w:val="32"/>
                <w:szCs w:val="32"/>
              </w:rPr>
              <w:t>DEPARTMENT</w:t>
            </w:r>
          </w:p>
        </w:tc>
        <w:tc>
          <w:tcPr>
            <w:tcW w:w="9567" w:type="dxa"/>
            <w:gridSpan w:val="2"/>
            <w:vAlign w:val="center"/>
          </w:tcPr>
          <w:p w:rsidR="000403F6" w:rsidRPr="001C394F" w:rsidRDefault="006A3883" w:rsidP="004B7383">
            <w:pPr>
              <w:rPr>
                <w:sz w:val="24"/>
                <w:szCs w:val="24"/>
              </w:rPr>
            </w:pPr>
            <w:r>
              <w:rPr>
                <w:sz w:val="24"/>
                <w:szCs w:val="24"/>
              </w:rPr>
              <w:t>World Languages and Communication</w:t>
            </w:r>
          </w:p>
        </w:tc>
      </w:tr>
      <w:tr w:rsidR="0097680B" w:rsidTr="0021103C">
        <w:trPr>
          <w:trHeight w:val="713"/>
        </w:trPr>
        <w:tc>
          <w:tcPr>
            <w:tcW w:w="3393" w:type="dxa"/>
            <w:vAlign w:val="center"/>
          </w:tcPr>
          <w:p w:rsidR="0097680B" w:rsidRDefault="00713C87" w:rsidP="00AE599F">
            <w:pPr>
              <w:rPr>
                <w:b/>
                <w:sz w:val="32"/>
                <w:szCs w:val="32"/>
              </w:rPr>
            </w:pPr>
            <w:r>
              <w:rPr>
                <w:b/>
                <w:sz w:val="32"/>
                <w:szCs w:val="32"/>
              </w:rPr>
              <w:t>SUBMITTED BY:</w:t>
            </w:r>
          </w:p>
        </w:tc>
        <w:tc>
          <w:tcPr>
            <w:tcW w:w="9567" w:type="dxa"/>
            <w:gridSpan w:val="2"/>
            <w:vAlign w:val="center"/>
          </w:tcPr>
          <w:p w:rsidR="0097680B" w:rsidRPr="001C394F" w:rsidRDefault="006A3883" w:rsidP="004B7383">
            <w:pPr>
              <w:rPr>
                <w:sz w:val="24"/>
                <w:szCs w:val="24"/>
              </w:rPr>
            </w:pPr>
            <w:proofErr w:type="spellStart"/>
            <w:r>
              <w:rPr>
                <w:sz w:val="24"/>
                <w:szCs w:val="24"/>
              </w:rPr>
              <w:t>Liisa</w:t>
            </w:r>
            <w:proofErr w:type="spellEnd"/>
            <w:r>
              <w:rPr>
                <w:sz w:val="24"/>
                <w:szCs w:val="24"/>
              </w:rPr>
              <w:t xml:space="preserve"> Mendoza and Jose Ruiz</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8A1D94" w:rsidRDefault="008A1D94"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8478"/>
        <w:gridCol w:w="1980"/>
      </w:tblGrid>
      <w:tr w:rsidR="00A615C4" w:rsidTr="00A615C4">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tcBorders>
              <w:top w:val="single" w:sz="4" w:space="0" w:color="auto"/>
              <w:left w:val="single" w:sz="4" w:space="0" w:color="auto"/>
              <w:bottom w:val="single" w:sz="4" w:space="0" w:color="auto"/>
              <w:right w:val="single" w:sz="4" w:space="0" w:color="auto"/>
            </w:tcBorders>
            <w:vAlign w:val="center"/>
          </w:tcPr>
          <w:p w:rsidR="00A615C4" w:rsidRPr="00B30971" w:rsidRDefault="00A615C4"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58" w:type="dxa"/>
            <w:gridSpan w:val="2"/>
            <w:tcBorders>
              <w:top w:val="single" w:sz="4" w:space="0" w:color="auto"/>
              <w:left w:val="single" w:sz="4" w:space="0" w:color="auto"/>
              <w:bottom w:val="single" w:sz="4" w:space="0" w:color="auto"/>
              <w:right w:val="single" w:sz="4" w:space="0" w:color="auto"/>
            </w:tcBorders>
          </w:tcPr>
          <w:p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A615C4" w:rsidRPr="00CC41A3" w:rsidRDefault="00CC41A3" w:rsidP="00CC41A3">
            <w:pPr>
              <w:rPr>
                <w:sz w:val="24"/>
                <w:szCs w:val="24"/>
              </w:rPr>
            </w:pPr>
            <w:r w:rsidRPr="00CC41A3">
              <w:rPr>
                <w:sz w:val="24"/>
                <w:szCs w:val="24"/>
              </w:rPr>
              <w:t xml:space="preserve">American Sign Language is not a program, so no goals were written. </w:t>
            </w:r>
          </w:p>
          <w:p w:rsidR="00CC41A3" w:rsidRPr="005707F9" w:rsidRDefault="00CC41A3" w:rsidP="00CC41A3">
            <w:pPr>
              <w:rPr>
                <w:sz w:val="24"/>
                <w:szCs w:val="24"/>
              </w:rPr>
            </w:pPr>
          </w:p>
        </w:tc>
        <w:tc>
          <w:tcPr>
            <w:tcW w:w="1980" w:type="dxa"/>
            <w:tcBorders>
              <w:top w:val="single" w:sz="4" w:space="0" w:color="auto"/>
              <w:left w:val="single" w:sz="4" w:space="0" w:color="auto"/>
              <w:right w:val="single" w:sz="4" w:space="0" w:color="auto"/>
            </w:tcBorders>
          </w:tcPr>
          <w:p w:rsidR="00A615C4" w:rsidRPr="00C34C62" w:rsidRDefault="00A615C4" w:rsidP="00BA0153"/>
        </w:tc>
      </w:tr>
    </w:tbl>
    <w:p w:rsidR="00DE05AB" w:rsidRDefault="00DE05AB">
      <w:pPr>
        <w:rPr>
          <w:sz w:val="24"/>
          <w:szCs w:val="24"/>
        </w:rPr>
      </w:pP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081A8E" w:rsidP="00A615C4">
      <w:pPr>
        <w:pStyle w:val="ListParagraph"/>
        <w:keepLines/>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rsidR="005E6467" w:rsidRPr="00555678" w:rsidRDefault="005E6467" w:rsidP="00A615C4">
      <w:pPr>
        <w:pStyle w:val="ListParagraph"/>
        <w:keepLines/>
        <w:spacing w:after="0" w:line="240" w:lineRule="auto"/>
        <w:ind w:left="1800"/>
        <w:rPr>
          <w:sz w:val="24"/>
          <w:szCs w:val="24"/>
        </w:rPr>
      </w:pPr>
    </w:p>
    <w:p w:rsidR="006A3883" w:rsidRDefault="006A3883" w:rsidP="00DE05AB">
      <w:pPr>
        <w:pStyle w:val="ListParagraph"/>
        <w:spacing w:after="0" w:line="240" w:lineRule="auto"/>
        <w:ind w:left="1800" w:right="720" w:firstLine="360"/>
        <w:rPr>
          <w:sz w:val="24"/>
          <w:szCs w:val="24"/>
        </w:rPr>
      </w:pPr>
      <w:r>
        <w:rPr>
          <w:sz w:val="24"/>
          <w:szCs w:val="24"/>
        </w:rPr>
        <w:t xml:space="preserve">The AMSL courses continue to deliver high fill rates for both day and extended day classes.  The extended day sections are consistently at a slightly lower fill rate than the day sections. </w:t>
      </w:r>
      <w:r w:rsidR="008A1D94">
        <w:rPr>
          <w:sz w:val="24"/>
          <w:szCs w:val="24"/>
        </w:rPr>
        <w:t xml:space="preserve"> </w:t>
      </w:r>
      <w:r>
        <w:rPr>
          <w:sz w:val="24"/>
          <w:szCs w:val="24"/>
        </w:rPr>
        <w:t xml:space="preserve">Extended day sections did decrease in both section </w:t>
      </w:r>
      <w:r w:rsidR="008A1D94">
        <w:rPr>
          <w:sz w:val="24"/>
          <w:szCs w:val="24"/>
        </w:rPr>
        <w:t xml:space="preserve">and </w:t>
      </w:r>
      <w:r>
        <w:rPr>
          <w:sz w:val="24"/>
          <w:szCs w:val="24"/>
        </w:rPr>
        <w:t xml:space="preserve">number in </w:t>
      </w:r>
      <w:proofErr w:type="gramStart"/>
      <w:r>
        <w:rPr>
          <w:sz w:val="24"/>
          <w:szCs w:val="24"/>
        </w:rPr>
        <w:t>Fall</w:t>
      </w:r>
      <w:proofErr w:type="gramEnd"/>
      <w:r>
        <w:rPr>
          <w:sz w:val="24"/>
          <w:szCs w:val="24"/>
        </w:rPr>
        <w:t xml:space="preserve"> 2</w:t>
      </w:r>
      <w:r w:rsidR="008A1D94">
        <w:rPr>
          <w:sz w:val="24"/>
          <w:szCs w:val="24"/>
        </w:rPr>
        <w:t xml:space="preserve">013 </w:t>
      </w:r>
      <w:r>
        <w:rPr>
          <w:sz w:val="24"/>
          <w:szCs w:val="24"/>
        </w:rPr>
        <w:t xml:space="preserve">and decreased in fill rate in Spring 2014.   </w:t>
      </w:r>
    </w:p>
    <w:p w:rsidR="00C557F5" w:rsidRDefault="006A3883" w:rsidP="00DE05AB">
      <w:pPr>
        <w:pStyle w:val="ListParagraph"/>
        <w:spacing w:after="0" w:line="240" w:lineRule="auto"/>
        <w:ind w:left="1800" w:right="720" w:firstLine="360"/>
        <w:rPr>
          <w:sz w:val="24"/>
          <w:szCs w:val="24"/>
        </w:rPr>
      </w:pPr>
      <w:r>
        <w:rPr>
          <w:sz w:val="24"/>
          <w:szCs w:val="24"/>
        </w:rPr>
        <w:t>Day enrollment incre</w:t>
      </w:r>
      <w:r w:rsidR="008A1D94">
        <w:rPr>
          <w:sz w:val="24"/>
          <w:szCs w:val="24"/>
        </w:rPr>
        <w:t xml:space="preserve">ased significantly in </w:t>
      </w:r>
      <w:proofErr w:type="gramStart"/>
      <w:r w:rsidR="008A1D94">
        <w:rPr>
          <w:sz w:val="24"/>
          <w:szCs w:val="24"/>
        </w:rPr>
        <w:t>Fall</w:t>
      </w:r>
      <w:proofErr w:type="gramEnd"/>
      <w:r w:rsidR="008A1D94">
        <w:rPr>
          <w:sz w:val="24"/>
          <w:szCs w:val="24"/>
        </w:rPr>
        <w:t xml:space="preserve"> 2013</w:t>
      </w:r>
      <w:r>
        <w:rPr>
          <w:sz w:val="24"/>
          <w:szCs w:val="24"/>
        </w:rPr>
        <w:t xml:space="preserve"> due to three additional sections being offered</w:t>
      </w:r>
      <w:r w:rsidR="00826F45">
        <w:rPr>
          <w:sz w:val="24"/>
          <w:szCs w:val="24"/>
        </w:rPr>
        <w:t xml:space="preserve"> and due to the increase in class cap to 28 from 25</w:t>
      </w:r>
      <w:r>
        <w:rPr>
          <w:sz w:val="24"/>
          <w:szCs w:val="24"/>
        </w:rPr>
        <w:t>.   Even with the additional sections, the fill rate was 111%.    The courses are obviously in high demand.  AMSL is not currently offered online or in a hybrid setting.  Enrollment and fill rate</w:t>
      </w:r>
      <w:r w:rsidR="008A1D94">
        <w:rPr>
          <w:sz w:val="24"/>
          <w:szCs w:val="24"/>
        </w:rPr>
        <w:t>s are consistently high</w:t>
      </w:r>
      <w:r>
        <w:rPr>
          <w:sz w:val="24"/>
          <w:szCs w:val="24"/>
        </w:rPr>
        <w:t xml:space="preserve"> with the lowest average fill rate at 84% in the extended day courses.</w:t>
      </w:r>
    </w:p>
    <w:p w:rsidR="001471B3" w:rsidRDefault="001471B3" w:rsidP="00C557F5">
      <w:pPr>
        <w:spacing w:after="0" w:line="240" w:lineRule="auto"/>
        <w:ind w:left="1800"/>
        <w:rPr>
          <w:sz w:val="24"/>
          <w:szCs w:val="24"/>
        </w:rPr>
      </w:pPr>
    </w:p>
    <w:p w:rsidR="00DE05AB" w:rsidRDefault="00DE05AB" w:rsidP="00C557F5">
      <w:pPr>
        <w:spacing w:after="0" w:line="240" w:lineRule="auto"/>
        <w:ind w:left="1800"/>
        <w:rPr>
          <w:sz w:val="24"/>
          <w:szCs w:val="24"/>
        </w:rPr>
      </w:pPr>
    </w:p>
    <w:p w:rsidR="00DE05AB" w:rsidRDefault="00DE05AB" w:rsidP="00C557F5">
      <w:pPr>
        <w:spacing w:after="0" w:line="240" w:lineRule="auto"/>
        <w:ind w:left="1800"/>
        <w:rPr>
          <w:sz w:val="24"/>
          <w:szCs w:val="24"/>
        </w:rPr>
      </w:pPr>
    </w:p>
    <w:p w:rsidR="00DE05AB" w:rsidRDefault="00DE05AB" w:rsidP="00C557F5">
      <w:pPr>
        <w:spacing w:after="0" w:line="240" w:lineRule="auto"/>
        <w:ind w:left="1800"/>
        <w:rPr>
          <w:sz w:val="24"/>
          <w:szCs w:val="24"/>
        </w:rPr>
      </w:pPr>
    </w:p>
    <w:p w:rsidR="00DE05AB" w:rsidRPr="00063F23" w:rsidRDefault="00DE05AB" w:rsidP="00C557F5">
      <w:pPr>
        <w:spacing w:after="0" w:line="240" w:lineRule="auto"/>
        <w:ind w:left="1800"/>
        <w:rPr>
          <w:sz w:val="24"/>
          <w:szCs w:val="24"/>
        </w:rPr>
      </w:pPr>
    </w:p>
    <w:p w:rsidR="00DC09C6" w:rsidRPr="00DC09C6" w:rsidRDefault="00DC09C6" w:rsidP="00A615C4">
      <w:pPr>
        <w:pStyle w:val="ListParagraph"/>
        <w:keepLines/>
        <w:numPr>
          <w:ilvl w:val="0"/>
          <w:numId w:val="8"/>
        </w:numPr>
        <w:rPr>
          <w:b/>
          <w:sz w:val="24"/>
          <w:u w:val="single"/>
        </w:rPr>
      </w:pPr>
      <w:r w:rsidRPr="00DC09C6">
        <w:rPr>
          <w:b/>
          <w:sz w:val="24"/>
          <w:u w:val="single"/>
        </w:rPr>
        <w:lastRenderedPageBreak/>
        <w:t>Productivity</w:t>
      </w:r>
    </w:p>
    <w:p w:rsidR="0023193A" w:rsidRPr="00063F23"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rsidR="00826F45" w:rsidRDefault="00826F45" w:rsidP="00826F45">
      <w:pPr>
        <w:pStyle w:val="ListParagraph"/>
        <w:spacing w:after="0" w:line="240" w:lineRule="auto"/>
        <w:ind w:left="1800"/>
        <w:rPr>
          <w:sz w:val="24"/>
          <w:szCs w:val="24"/>
        </w:rPr>
      </w:pPr>
    </w:p>
    <w:p w:rsidR="00110022" w:rsidRDefault="00CC41A3" w:rsidP="00DE05AB">
      <w:pPr>
        <w:pStyle w:val="ListParagraph"/>
        <w:spacing w:after="0" w:line="240" w:lineRule="auto"/>
        <w:ind w:left="1800" w:right="720" w:firstLine="360"/>
        <w:rPr>
          <w:sz w:val="24"/>
          <w:szCs w:val="24"/>
        </w:rPr>
      </w:pPr>
      <w:r>
        <w:rPr>
          <w:sz w:val="24"/>
          <w:szCs w:val="24"/>
        </w:rPr>
        <w:t>AMSL has a 400.31 productivity rate which is lower than the 525 desired by the Chancellors office.</w:t>
      </w:r>
      <w:r w:rsidR="008A1D94">
        <w:rPr>
          <w:sz w:val="24"/>
          <w:szCs w:val="24"/>
        </w:rPr>
        <w:t xml:space="preserve"> </w:t>
      </w:r>
      <w:r>
        <w:rPr>
          <w:sz w:val="24"/>
          <w:szCs w:val="24"/>
        </w:rPr>
        <w:t xml:space="preserve"> </w:t>
      </w:r>
      <w:r w:rsidR="00826F45">
        <w:rPr>
          <w:sz w:val="24"/>
          <w:szCs w:val="24"/>
        </w:rPr>
        <w:t>Productivity does not seem to trend higher in the fall or in the spring on a consistent basis.  AMSL seems to average a 400 FTEF productivity consistently.</w:t>
      </w:r>
    </w:p>
    <w:p w:rsidR="001471B3" w:rsidRDefault="001471B3" w:rsidP="00110022">
      <w:pPr>
        <w:pStyle w:val="ListParagraph"/>
        <w:spacing w:after="0" w:line="240" w:lineRule="auto"/>
        <w:ind w:left="1800"/>
        <w:rPr>
          <w:sz w:val="24"/>
          <w:szCs w:val="24"/>
        </w:rPr>
      </w:pPr>
    </w:p>
    <w:p w:rsidR="00DC09C6" w:rsidRPr="00DC09C6" w:rsidRDefault="00063F23" w:rsidP="00A615C4">
      <w:pPr>
        <w:pStyle w:val="ListParagraph"/>
        <w:keepLines/>
        <w:numPr>
          <w:ilvl w:val="0"/>
          <w:numId w:val="8"/>
        </w:numPr>
        <w:rPr>
          <w:b/>
          <w:sz w:val="24"/>
          <w:u w:val="single"/>
        </w:rPr>
      </w:pPr>
      <w:r>
        <w:rPr>
          <w:b/>
          <w:sz w:val="24"/>
          <w:u w:val="single"/>
        </w:rPr>
        <w:t>Success and</w:t>
      </w:r>
      <w:r w:rsidR="00DC09C6" w:rsidRPr="00DC09C6">
        <w:rPr>
          <w:b/>
          <w:sz w:val="24"/>
          <w:u w:val="single"/>
        </w:rPr>
        <w:t xml:space="preserve"> Retention</w:t>
      </w:r>
    </w:p>
    <w:p w:rsidR="0023193A" w:rsidRPr="00063F23" w:rsidRDefault="00063F23" w:rsidP="00DE05AB">
      <w:pPr>
        <w:pStyle w:val="ListParagraph"/>
        <w:keepLines/>
        <w:ind w:left="1800" w:right="72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rsidR="00826F45" w:rsidRDefault="00826F45" w:rsidP="00826F45">
      <w:pPr>
        <w:pStyle w:val="ListParagraph"/>
        <w:spacing w:after="0" w:line="240" w:lineRule="auto"/>
        <w:ind w:left="1800"/>
        <w:rPr>
          <w:sz w:val="24"/>
          <w:szCs w:val="24"/>
        </w:rPr>
      </w:pPr>
    </w:p>
    <w:p w:rsidR="00826F45" w:rsidRDefault="00826F45" w:rsidP="00DE05AB">
      <w:pPr>
        <w:pStyle w:val="ListParagraph"/>
        <w:spacing w:after="0" w:line="240" w:lineRule="auto"/>
        <w:ind w:left="1800" w:right="720" w:firstLine="360"/>
        <w:rPr>
          <w:sz w:val="24"/>
          <w:szCs w:val="24"/>
        </w:rPr>
      </w:pPr>
      <w:r>
        <w:rPr>
          <w:sz w:val="24"/>
          <w:szCs w:val="24"/>
        </w:rPr>
        <w:t>The retention rates are very high.</w:t>
      </w:r>
      <w:r w:rsidR="008A1D94">
        <w:rPr>
          <w:sz w:val="24"/>
          <w:szCs w:val="24"/>
        </w:rPr>
        <w:t xml:space="preserve"> The day courses average a 90</w:t>
      </w:r>
      <w:r>
        <w:rPr>
          <w:sz w:val="24"/>
          <w:szCs w:val="24"/>
        </w:rPr>
        <w:t>% retention rate, while the exten</w:t>
      </w:r>
      <w:r w:rsidR="008A1D94">
        <w:rPr>
          <w:sz w:val="24"/>
          <w:szCs w:val="24"/>
        </w:rPr>
        <w:t>ded day courses average an 87</w:t>
      </w:r>
      <w:r>
        <w:rPr>
          <w:sz w:val="24"/>
          <w:szCs w:val="24"/>
        </w:rPr>
        <w:t xml:space="preserve">% retention rate.  While the extended day courses have a slightly lower retention rate than the day courses, they remain high.  In general, students who enroll in American Sign Language classes seem to stay in the courses.  </w:t>
      </w:r>
    </w:p>
    <w:p w:rsidR="0023193A" w:rsidRDefault="00826F45" w:rsidP="00DE05AB">
      <w:pPr>
        <w:pStyle w:val="ListParagraph"/>
        <w:spacing w:after="0" w:line="240" w:lineRule="auto"/>
        <w:ind w:left="1800" w:right="720" w:firstLine="360"/>
        <w:rPr>
          <w:sz w:val="24"/>
          <w:szCs w:val="24"/>
        </w:rPr>
      </w:pPr>
      <w:r>
        <w:rPr>
          <w:sz w:val="24"/>
          <w:szCs w:val="24"/>
        </w:rPr>
        <w:t>Success rates are also high, although they are higher for day courses than for extended day courses.  The day courses</w:t>
      </w:r>
      <w:r w:rsidR="008A1D94">
        <w:rPr>
          <w:sz w:val="24"/>
          <w:szCs w:val="24"/>
        </w:rPr>
        <w:t xml:space="preserve"> average an 83.69% success rate</w:t>
      </w:r>
      <w:r>
        <w:rPr>
          <w:sz w:val="24"/>
          <w:szCs w:val="24"/>
        </w:rPr>
        <w:t xml:space="preserve"> while the extended day courses average </w:t>
      </w:r>
      <w:r w:rsidR="006B7217">
        <w:rPr>
          <w:sz w:val="24"/>
          <w:szCs w:val="24"/>
        </w:rPr>
        <w:t>a 78.77% success rate.</w:t>
      </w:r>
      <w:r w:rsidR="008A1D94">
        <w:rPr>
          <w:sz w:val="24"/>
          <w:szCs w:val="24"/>
        </w:rPr>
        <w:t xml:space="preserve"> </w:t>
      </w:r>
      <w:r w:rsidR="006B7217">
        <w:rPr>
          <w:sz w:val="24"/>
          <w:szCs w:val="24"/>
        </w:rPr>
        <w:t xml:space="preserve"> Success rates for extended day courses dropped to an historic low of 68% in </w:t>
      </w:r>
      <w:proofErr w:type="gramStart"/>
      <w:r w:rsidR="006B7217">
        <w:rPr>
          <w:sz w:val="24"/>
          <w:szCs w:val="24"/>
        </w:rPr>
        <w:t>Fall</w:t>
      </w:r>
      <w:proofErr w:type="gramEnd"/>
      <w:r w:rsidR="006B7217">
        <w:rPr>
          <w:sz w:val="24"/>
          <w:szCs w:val="24"/>
        </w:rPr>
        <w:t xml:space="preserve"> 2013 and rose to 72% in Spring 2014.  These success rates are low compared to traditional extended day AMSL course success rates.  Perhaps the extended day faculty should be consulted for ideas to increase success rates.</w:t>
      </w:r>
    </w:p>
    <w:p w:rsidR="001471B3" w:rsidRDefault="001471B3" w:rsidP="0023193A">
      <w:pPr>
        <w:pStyle w:val="ListParagraph"/>
        <w:spacing w:after="0" w:line="240" w:lineRule="auto"/>
        <w:ind w:left="1800"/>
        <w:rPr>
          <w:sz w:val="24"/>
          <w:szCs w:val="24"/>
        </w:rPr>
      </w:pPr>
    </w:p>
    <w:p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rsidR="00063F23" w:rsidRP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rsidR="006B7217" w:rsidRDefault="006B7217" w:rsidP="006B7217">
      <w:pPr>
        <w:pStyle w:val="ListParagraph"/>
        <w:spacing w:after="0" w:line="240" w:lineRule="auto"/>
        <w:ind w:left="1800"/>
        <w:rPr>
          <w:sz w:val="24"/>
          <w:szCs w:val="24"/>
        </w:rPr>
      </w:pPr>
    </w:p>
    <w:p w:rsidR="00063F23" w:rsidRDefault="006B7217" w:rsidP="00DE05AB">
      <w:pPr>
        <w:pStyle w:val="ListParagraph"/>
        <w:spacing w:after="0" w:line="240" w:lineRule="auto"/>
        <w:ind w:left="1800" w:right="720" w:firstLine="360"/>
        <w:rPr>
          <w:b/>
          <w:sz w:val="24"/>
          <w:u w:val="single"/>
        </w:rPr>
      </w:pPr>
      <w:r>
        <w:rPr>
          <w:sz w:val="24"/>
          <w:szCs w:val="24"/>
        </w:rPr>
        <w:t xml:space="preserve">Retention and success rates seem very high, regardless of ethnicity.  All ethnic groups experienced </w:t>
      </w:r>
      <w:r w:rsidR="008A1D94">
        <w:rPr>
          <w:sz w:val="24"/>
          <w:szCs w:val="24"/>
        </w:rPr>
        <w:t>a success rate of 80% or better</w:t>
      </w:r>
      <w:r>
        <w:rPr>
          <w:sz w:val="24"/>
          <w:szCs w:val="24"/>
        </w:rPr>
        <w:t xml:space="preserve"> when averaging the last six semesters.  Retention rates were also high, averaging 85% or better across all ethnic groups listed.</w:t>
      </w:r>
    </w:p>
    <w:p w:rsidR="00063F23" w:rsidRDefault="00063F23" w:rsidP="00063F23">
      <w:pPr>
        <w:pStyle w:val="ListParagraph"/>
        <w:spacing w:after="0"/>
        <w:ind w:left="1800"/>
        <w:rPr>
          <w:b/>
          <w:sz w:val="24"/>
          <w:u w:val="single"/>
        </w:rPr>
      </w:pPr>
    </w:p>
    <w:p w:rsidR="00DE05AB" w:rsidRDefault="00DE05AB" w:rsidP="00063F23">
      <w:pPr>
        <w:pStyle w:val="ListParagraph"/>
        <w:spacing w:after="0"/>
        <w:ind w:left="1800"/>
        <w:rPr>
          <w:b/>
          <w:sz w:val="24"/>
          <w:u w:val="single"/>
        </w:rPr>
      </w:pPr>
    </w:p>
    <w:p w:rsidR="00DE05AB" w:rsidRDefault="00DE05AB" w:rsidP="00063F23">
      <w:pPr>
        <w:pStyle w:val="ListParagraph"/>
        <w:spacing w:after="0"/>
        <w:ind w:left="1800"/>
        <w:rPr>
          <w:b/>
          <w:sz w:val="24"/>
          <w:u w:val="single"/>
        </w:rPr>
      </w:pPr>
    </w:p>
    <w:p w:rsidR="00DE05AB" w:rsidRDefault="00DE05AB" w:rsidP="00063F23">
      <w:pPr>
        <w:pStyle w:val="ListParagraph"/>
        <w:spacing w:after="0"/>
        <w:ind w:left="1800"/>
        <w:rPr>
          <w:b/>
          <w:sz w:val="24"/>
          <w:u w:val="single"/>
        </w:rPr>
      </w:pPr>
    </w:p>
    <w:p w:rsidR="00063F23" w:rsidRDefault="00063F23" w:rsidP="00A615C4">
      <w:pPr>
        <w:pStyle w:val="ListParagraph"/>
        <w:keepLines/>
        <w:numPr>
          <w:ilvl w:val="0"/>
          <w:numId w:val="8"/>
        </w:numPr>
        <w:spacing w:after="0"/>
        <w:rPr>
          <w:b/>
          <w:sz w:val="24"/>
          <w:u w:val="single"/>
        </w:rPr>
      </w:pPr>
      <w:r>
        <w:rPr>
          <w:b/>
          <w:sz w:val="24"/>
          <w:u w:val="single"/>
        </w:rPr>
        <w:lastRenderedPageBreak/>
        <w:t>Degrees and Certificates</w:t>
      </w:r>
    </w:p>
    <w:p w:rsidR="00063F23" w:rsidRPr="00063F23" w:rsidRDefault="00063F23" w:rsidP="00A615C4">
      <w:pPr>
        <w:keepLines/>
        <w:spacing w:after="0"/>
        <w:ind w:left="1440" w:firstLine="360"/>
        <w:rPr>
          <w:sz w:val="24"/>
        </w:rPr>
      </w:pPr>
      <w:r w:rsidRPr="00063F23">
        <w:rPr>
          <w:sz w:val="24"/>
        </w:rPr>
        <w:t xml:space="preserve">Discuss the trends in the number of degrees and/or certificates awarded. </w:t>
      </w:r>
    </w:p>
    <w:p w:rsidR="00063F23" w:rsidRDefault="00063F23" w:rsidP="00063F23">
      <w:pPr>
        <w:pStyle w:val="ListParagraph"/>
        <w:spacing w:after="0"/>
        <w:ind w:left="1800"/>
        <w:rPr>
          <w:sz w:val="24"/>
        </w:rPr>
      </w:pPr>
    </w:p>
    <w:p w:rsidR="006B7217" w:rsidRPr="006B7217" w:rsidRDefault="006B7217" w:rsidP="00DE05AB">
      <w:pPr>
        <w:pStyle w:val="ListParagraph"/>
        <w:spacing w:after="0"/>
        <w:ind w:left="1800" w:firstLine="360"/>
        <w:rPr>
          <w:sz w:val="24"/>
        </w:rPr>
      </w:pPr>
      <w:r>
        <w:rPr>
          <w:sz w:val="24"/>
        </w:rPr>
        <w:t>This is not applicable, as AMSL does not currently have a degree or certificate.</w:t>
      </w:r>
    </w:p>
    <w:p w:rsidR="006B7217" w:rsidRDefault="006B7217" w:rsidP="00063F23">
      <w:pPr>
        <w:pStyle w:val="ListParagraph"/>
        <w:spacing w:after="0"/>
        <w:ind w:left="1800"/>
        <w:rPr>
          <w:b/>
          <w:sz w:val="24"/>
          <w:u w:val="single"/>
        </w:rPr>
      </w:pPr>
    </w:p>
    <w:p w:rsidR="00063F23" w:rsidRPr="00063F23" w:rsidRDefault="00063F23" w:rsidP="00A615C4">
      <w:pPr>
        <w:pStyle w:val="ListParagraph"/>
        <w:keepLines/>
        <w:numPr>
          <w:ilvl w:val="0"/>
          <w:numId w:val="8"/>
        </w:numPr>
        <w:spacing w:after="0"/>
        <w:rPr>
          <w:b/>
          <w:sz w:val="24"/>
          <w:u w:val="single"/>
        </w:rPr>
      </w:pPr>
      <w:r>
        <w:rPr>
          <w:b/>
          <w:sz w:val="24"/>
          <w:u w:val="single"/>
        </w:rPr>
        <w:t>Program Changes</w:t>
      </w:r>
    </w:p>
    <w:p w:rsidR="00063F23" w:rsidRPr="00063F23" w:rsidRDefault="00063F23" w:rsidP="00A615C4">
      <w:pPr>
        <w:pStyle w:val="ListParagraph"/>
        <w:keepLines/>
        <w:spacing w:after="0"/>
        <w:ind w:left="1800"/>
        <w:rPr>
          <w:sz w:val="24"/>
        </w:rPr>
      </w:pPr>
      <w:r w:rsidRPr="00063F23">
        <w:rPr>
          <w:sz w:val="24"/>
        </w:rPr>
        <w:t>What program changes, if any, do you expect to have a positive effect on students?</w:t>
      </w:r>
    </w:p>
    <w:p w:rsidR="006B7217" w:rsidRDefault="006B7217" w:rsidP="006B7217">
      <w:pPr>
        <w:pStyle w:val="ListParagraph"/>
        <w:spacing w:after="0" w:line="240" w:lineRule="auto"/>
        <w:ind w:left="1800"/>
        <w:rPr>
          <w:sz w:val="24"/>
          <w:szCs w:val="24"/>
        </w:rPr>
      </w:pPr>
    </w:p>
    <w:p w:rsidR="00063F23" w:rsidRDefault="006B7217" w:rsidP="00DE05AB">
      <w:pPr>
        <w:pStyle w:val="ListParagraph"/>
        <w:spacing w:after="0" w:line="240" w:lineRule="auto"/>
        <w:ind w:left="1800" w:right="720" w:firstLine="360"/>
        <w:rPr>
          <w:sz w:val="24"/>
          <w:szCs w:val="24"/>
        </w:rPr>
      </w:pPr>
      <w:r>
        <w:rPr>
          <w:sz w:val="24"/>
          <w:szCs w:val="24"/>
        </w:rPr>
        <w:t>At this time, the creation of an AMSL associat</w:t>
      </w:r>
      <w:r w:rsidR="008A1D94">
        <w:rPr>
          <w:sz w:val="24"/>
          <w:szCs w:val="24"/>
        </w:rPr>
        <w:t>e degree should be investigated</w:t>
      </w:r>
      <w:r>
        <w:rPr>
          <w:sz w:val="24"/>
          <w:szCs w:val="24"/>
        </w:rPr>
        <w:t xml:space="preserve"> and initiated if determined to be a viable program.  The creation of a terminal degree may very well help with retention of students from semester to semester, not just within a semester.  It could also help with the fill rates of upper level classes.  The feasibility of an Interpreter Training Program should also be considered. </w:t>
      </w:r>
      <w:r w:rsidR="008A1D94">
        <w:rPr>
          <w:sz w:val="24"/>
          <w:szCs w:val="24"/>
        </w:rPr>
        <w:t xml:space="preserve"> </w:t>
      </w:r>
      <w:r>
        <w:rPr>
          <w:sz w:val="24"/>
          <w:szCs w:val="24"/>
        </w:rPr>
        <w:t>It is understood that the warning status of IVC will preclude establishing a degree during this semester; however</w:t>
      </w:r>
      <w:r w:rsidR="008A1D94">
        <w:rPr>
          <w:sz w:val="24"/>
          <w:szCs w:val="24"/>
        </w:rPr>
        <w:t>,</w:t>
      </w:r>
      <w:r>
        <w:rPr>
          <w:sz w:val="24"/>
          <w:szCs w:val="24"/>
        </w:rPr>
        <w:t xml:space="preserve"> options should be considered for the future.  Additional courses could be written and approved in order to be ready when IVC is taken off of its warning status.</w:t>
      </w:r>
    </w:p>
    <w:p w:rsidR="008A1D94" w:rsidRDefault="008A1D94" w:rsidP="004A7487">
      <w:pPr>
        <w:spacing w:after="0"/>
        <w:ind w:left="1440" w:firstLine="360"/>
        <w:rPr>
          <w:sz w:val="24"/>
          <w:szCs w:val="24"/>
        </w:rPr>
      </w:pPr>
    </w:p>
    <w:p w:rsidR="00937B09" w:rsidRPr="004A7487" w:rsidRDefault="00063F23" w:rsidP="00DE05AB">
      <w:pPr>
        <w:pStyle w:val="ListParagraph"/>
        <w:keepLines/>
        <w:numPr>
          <w:ilvl w:val="0"/>
          <w:numId w:val="20"/>
        </w:numPr>
        <w:ind w:right="720"/>
        <w:rPr>
          <w:sz w:val="24"/>
        </w:rPr>
      </w:pPr>
      <w:r>
        <w:rPr>
          <w:sz w:val="24"/>
          <w:szCs w:val="24"/>
        </w:rPr>
        <w:t>Summarize revisions, additions, deletions, and alternate delivery methods to courses and/or program based on the last program review.</w:t>
      </w:r>
    </w:p>
    <w:p w:rsidR="00AF6F82" w:rsidRDefault="00AF6F82" w:rsidP="00AF6F82">
      <w:pPr>
        <w:pStyle w:val="ListParagraph"/>
        <w:spacing w:after="0" w:line="240" w:lineRule="auto"/>
        <w:ind w:left="1080"/>
        <w:rPr>
          <w:sz w:val="24"/>
          <w:szCs w:val="24"/>
        </w:rPr>
      </w:pPr>
    </w:p>
    <w:p w:rsidR="00AF6F82" w:rsidRPr="00AF6F82" w:rsidRDefault="00AF6F82" w:rsidP="00DE05AB">
      <w:pPr>
        <w:pStyle w:val="ListParagraph"/>
        <w:spacing w:after="0" w:line="240" w:lineRule="auto"/>
        <w:ind w:left="1080" w:right="720" w:firstLine="360"/>
        <w:rPr>
          <w:sz w:val="24"/>
          <w:szCs w:val="24"/>
        </w:rPr>
      </w:pPr>
      <w:r w:rsidRPr="00AF6F82">
        <w:rPr>
          <w:sz w:val="24"/>
          <w:szCs w:val="24"/>
        </w:rPr>
        <w:t xml:space="preserve">No courses have been deleted during this cycle.  The possibility of an online or hybrid AMSL course should be investigated.  Some preliminary data in </w:t>
      </w:r>
      <w:r w:rsidR="008A1D94">
        <w:rPr>
          <w:sz w:val="24"/>
          <w:szCs w:val="24"/>
        </w:rPr>
        <w:t>the field indicates that online-</w:t>
      </w:r>
      <w:r w:rsidRPr="00AF6F82">
        <w:rPr>
          <w:sz w:val="24"/>
          <w:szCs w:val="24"/>
        </w:rPr>
        <w:t>only ASL courses do not experience the same skill success as face to face classes do.  Fur</w:t>
      </w:r>
      <w:r w:rsidR="008A1D94">
        <w:rPr>
          <w:sz w:val="24"/>
          <w:szCs w:val="24"/>
        </w:rPr>
        <w:t>ther investigation is warranted</w:t>
      </w:r>
      <w:r w:rsidRPr="00AF6F82">
        <w:rPr>
          <w:sz w:val="24"/>
          <w:szCs w:val="24"/>
        </w:rPr>
        <w:t xml:space="preserve"> along with the possible creation of a hybrid course.</w:t>
      </w:r>
    </w:p>
    <w:p w:rsidR="00707C2F" w:rsidRDefault="00AF6F82" w:rsidP="00DE05AB">
      <w:pPr>
        <w:pStyle w:val="ListParagraph"/>
        <w:spacing w:after="0" w:line="240" w:lineRule="auto"/>
        <w:ind w:left="1080" w:right="720" w:firstLine="360"/>
        <w:rPr>
          <w:sz w:val="24"/>
          <w:szCs w:val="24"/>
        </w:rPr>
      </w:pPr>
      <w:r w:rsidRPr="00AF6F82">
        <w:rPr>
          <w:sz w:val="24"/>
          <w:szCs w:val="24"/>
        </w:rPr>
        <w:t>Additionally, the development of further courses may be warranted.  If an AA degree is initiated, the creation of an ASL Linguistics course as well as an ASL Literature course would be advisable.  The feasibility of establishing an Interpreter Training Program should also be investigated.</w:t>
      </w:r>
    </w:p>
    <w:p w:rsidR="00707C2F" w:rsidRPr="00707C2F" w:rsidRDefault="00707C2F" w:rsidP="00707C2F">
      <w:pPr>
        <w:pStyle w:val="ListParagraph"/>
        <w:spacing w:after="0" w:line="240" w:lineRule="auto"/>
        <w:ind w:left="1440"/>
        <w:rPr>
          <w:sz w:val="24"/>
          <w:szCs w:val="24"/>
        </w:rPr>
      </w:pPr>
    </w:p>
    <w:p w:rsidR="004A7487" w:rsidRDefault="00063F23" w:rsidP="00A615C4">
      <w:pPr>
        <w:pStyle w:val="ListParagraph"/>
        <w:keepLines/>
        <w:numPr>
          <w:ilvl w:val="0"/>
          <w:numId w:val="20"/>
        </w:numPr>
        <w:spacing w:after="0" w:line="240" w:lineRule="auto"/>
        <w:rPr>
          <w:sz w:val="24"/>
          <w:szCs w:val="24"/>
        </w:rPr>
      </w:pPr>
      <w:r>
        <w:rPr>
          <w:sz w:val="24"/>
          <w:szCs w:val="24"/>
        </w:rPr>
        <w:t>Evaluate the program’s viability by addressing program completion, size (FTES), projections (growing/stable/declining), and quality of outcomes.</w:t>
      </w:r>
    </w:p>
    <w:p w:rsidR="00AF6F82" w:rsidRDefault="00AF6F82" w:rsidP="00AF6F82">
      <w:pPr>
        <w:pStyle w:val="ListParagraph"/>
        <w:keepLines/>
        <w:spacing w:after="0" w:line="240" w:lineRule="auto"/>
        <w:ind w:left="1080"/>
        <w:rPr>
          <w:sz w:val="24"/>
          <w:szCs w:val="24"/>
        </w:rPr>
      </w:pPr>
    </w:p>
    <w:p w:rsidR="00AF6F82" w:rsidRDefault="00DE05AB" w:rsidP="00DE05AB">
      <w:pPr>
        <w:spacing w:after="0" w:line="240" w:lineRule="auto"/>
        <w:ind w:left="1080" w:right="720" w:firstLine="360"/>
        <w:rPr>
          <w:sz w:val="24"/>
          <w:szCs w:val="24"/>
        </w:rPr>
      </w:pPr>
      <w:r>
        <w:rPr>
          <w:sz w:val="24"/>
          <w:szCs w:val="24"/>
        </w:rPr>
        <w:t>AMSL does not offer a degree or certificate</w:t>
      </w:r>
      <w:r w:rsidR="00AF6F82">
        <w:rPr>
          <w:sz w:val="24"/>
          <w:szCs w:val="24"/>
        </w:rPr>
        <w:t xml:space="preserve">, so it is difficult to gauge program completion. </w:t>
      </w:r>
      <w:r w:rsidR="008A1D94">
        <w:rPr>
          <w:sz w:val="24"/>
          <w:szCs w:val="24"/>
        </w:rPr>
        <w:t xml:space="preserve"> </w:t>
      </w:r>
      <w:r w:rsidR="00AF6F82">
        <w:rPr>
          <w:sz w:val="24"/>
          <w:szCs w:val="24"/>
        </w:rPr>
        <w:t xml:space="preserve">There has been a steady increase in the number of students taking ASL through all levels.  There are now enough students to offer 2 sections of ASL 3 (AMSL 200) consistently in the fall.  </w:t>
      </w:r>
    </w:p>
    <w:p w:rsidR="00AF6F82" w:rsidRDefault="00AF6F82" w:rsidP="00DE05AB">
      <w:pPr>
        <w:keepLines/>
        <w:spacing w:after="0" w:line="240" w:lineRule="auto"/>
        <w:ind w:left="1080" w:right="720" w:firstLine="360"/>
        <w:rPr>
          <w:sz w:val="24"/>
          <w:szCs w:val="24"/>
        </w:rPr>
      </w:pPr>
      <w:r>
        <w:rPr>
          <w:sz w:val="24"/>
          <w:szCs w:val="24"/>
        </w:rPr>
        <w:lastRenderedPageBreak/>
        <w:t xml:space="preserve">Regarding quality of outcomes, several students from IVC have </w:t>
      </w:r>
      <w:r w:rsidRPr="00AF6F82">
        <w:rPr>
          <w:sz w:val="24"/>
          <w:szCs w:val="24"/>
        </w:rPr>
        <w:t>been accepted to California State University of Northridge (CSUN) and Sacramento State University to continue their ASL/Deaf studies.</w:t>
      </w:r>
      <w:r w:rsidR="00430A81">
        <w:rPr>
          <w:sz w:val="24"/>
          <w:szCs w:val="24"/>
        </w:rPr>
        <w:t xml:space="preserve"> </w:t>
      </w:r>
      <w:r w:rsidRPr="00AF6F82">
        <w:rPr>
          <w:sz w:val="24"/>
          <w:szCs w:val="24"/>
        </w:rPr>
        <w:t xml:space="preserve"> Some</w:t>
      </w:r>
      <w:r>
        <w:rPr>
          <w:sz w:val="24"/>
          <w:szCs w:val="24"/>
        </w:rPr>
        <w:t xml:space="preserve"> have continued on to major in ASL or Deaf Studies, while others have pursued interpreting.  </w:t>
      </w:r>
    </w:p>
    <w:p w:rsidR="00AF6F82" w:rsidRDefault="00AF6F82" w:rsidP="00DE05AB">
      <w:pPr>
        <w:spacing w:after="0" w:line="240" w:lineRule="auto"/>
        <w:ind w:left="1080" w:right="720" w:firstLine="360"/>
        <w:rPr>
          <w:sz w:val="24"/>
          <w:szCs w:val="24"/>
        </w:rPr>
      </w:pPr>
      <w:r>
        <w:rPr>
          <w:sz w:val="24"/>
          <w:szCs w:val="24"/>
        </w:rPr>
        <w:t xml:space="preserve">Program completion could be considered completion of Interpreting I and II.  Of the first class of </w:t>
      </w:r>
      <w:r w:rsidR="008A1D94">
        <w:rPr>
          <w:sz w:val="24"/>
          <w:szCs w:val="24"/>
        </w:rPr>
        <w:t>eight</w:t>
      </w:r>
      <w:r>
        <w:rPr>
          <w:sz w:val="24"/>
          <w:szCs w:val="24"/>
        </w:rPr>
        <w:t xml:space="preserve"> who went through Interpreting I and Inte</w:t>
      </w:r>
      <w:r w:rsidR="008A1D94">
        <w:rPr>
          <w:sz w:val="24"/>
          <w:szCs w:val="24"/>
        </w:rPr>
        <w:t>rpreting II during this cycle, two</w:t>
      </w:r>
      <w:r>
        <w:rPr>
          <w:sz w:val="24"/>
          <w:szCs w:val="24"/>
        </w:rPr>
        <w:t xml:space="preserve"> are currently working locally as interpreters.  A third student is attending SDSU to become a teacher for the Deaf.  One of the AMSL 5 students (Fall 2014) is also working as a basic interpreter for the deaf locally.</w:t>
      </w:r>
    </w:p>
    <w:p w:rsidR="00AF6F82" w:rsidRDefault="00AF6F82" w:rsidP="00DE05AB">
      <w:pPr>
        <w:spacing w:after="0" w:line="240" w:lineRule="auto"/>
        <w:ind w:left="1080" w:firstLine="360"/>
        <w:rPr>
          <w:sz w:val="24"/>
          <w:szCs w:val="24"/>
        </w:rPr>
      </w:pPr>
      <w:r>
        <w:rPr>
          <w:sz w:val="24"/>
          <w:szCs w:val="24"/>
        </w:rPr>
        <w:t>Interpreting I is schedu</w:t>
      </w:r>
      <w:r w:rsidR="008A1D94">
        <w:rPr>
          <w:sz w:val="24"/>
          <w:szCs w:val="24"/>
        </w:rPr>
        <w:t xml:space="preserve">led to be offered in </w:t>
      </w:r>
      <w:proofErr w:type="gramStart"/>
      <w:r w:rsidR="008A1D94">
        <w:rPr>
          <w:sz w:val="24"/>
          <w:szCs w:val="24"/>
        </w:rPr>
        <w:t>Spring</w:t>
      </w:r>
      <w:proofErr w:type="gramEnd"/>
      <w:r w:rsidR="008A1D94">
        <w:rPr>
          <w:sz w:val="24"/>
          <w:szCs w:val="24"/>
        </w:rPr>
        <w:t xml:space="preserve"> 2015</w:t>
      </w:r>
      <w:r>
        <w:rPr>
          <w:sz w:val="24"/>
          <w:szCs w:val="24"/>
        </w:rPr>
        <w:t>.  The data from that cohort will be exciting to follow.</w:t>
      </w:r>
    </w:p>
    <w:p w:rsidR="00AF6F82" w:rsidRDefault="00AF6F82" w:rsidP="00AF6F82">
      <w:pPr>
        <w:spacing w:after="0" w:line="240" w:lineRule="auto"/>
        <w:ind w:left="1440"/>
        <w:rPr>
          <w:sz w:val="24"/>
          <w:szCs w:val="24"/>
        </w:rPr>
      </w:pPr>
    </w:p>
    <w:p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2700"/>
        <w:gridCol w:w="3600"/>
        <w:gridCol w:w="2790"/>
        <w:gridCol w:w="1980"/>
      </w:tblGrid>
      <w:tr w:rsidR="00CC7541" w:rsidRPr="00BF037A" w:rsidTr="00CC7541">
        <w:trPr>
          <w:trHeight w:val="710"/>
        </w:trPr>
        <w:tc>
          <w:tcPr>
            <w:tcW w:w="10980" w:type="dxa"/>
            <w:gridSpan w:val="4"/>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5E71F4">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3"/>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2F355B" w:rsidTr="00CC7541">
        <w:tc>
          <w:tcPr>
            <w:tcW w:w="10980" w:type="dxa"/>
            <w:gridSpan w:val="4"/>
            <w:tcBorders>
              <w:top w:val="single" w:sz="4" w:space="0" w:color="auto"/>
              <w:left w:val="single" w:sz="4" w:space="0" w:color="auto"/>
              <w:bottom w:val="dotted" w:sz="4" w:space="0" w:color="auto"/>
              <w:right w:val="dotted" w:sz="4" w:space="0" w:color="auto"/>
            </w:tcBorders>
          </w:tcPr>
          <w:p w:rsidR="002F355B" w:rsidRPr="00613585" w:rsidRDefault="002F355B"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Pr="002F355B">
              <w:rPr>
                <w:sz w:val="24"/>
                <w:szCs w:val="24"/>
              </w:rPr>
              <w:t>Track program completion.</w:t>
            </w:r>
          </w:p>
          <w:p w:rsidR="002F355B" w:rsidRPr="005707F9" w:rsidRDefault="002F355B"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2F355B" w:rsidRPr="00FD66D9" w:rsidRDefault="002F355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2F355B" w:rsidRPr="001471B3" w:rsidRDefault="002F355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2F355B" w:rsidRPr="001471B3" w:rsidRDefault="002F355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2F355B" w:rsidRPr="00FD66D9" w:rsidRDefault="002F355B" w:rsidP="00CC7541">
            <w:pPr>
              <w:rPr>
                <w:b/>
                <w:sz w:val="24"/>
                <w:szCs w:val="24"/>
              </w:rPr>
            </w:pPr>
            <w:r>
              <w:rPr>
                <w:sz w:val="20"/>
                <w:szCs w:val="20"/>
              </w:rPr>
              <w:fldChar w:fldCharType="begin">
                <w:ffData>
                  <w:name w:val="Check6"/>
                  <w:enabled/>
                  <w:calcOnExit w:val="0"/>
                  <w:checkBox>
                    <w:sizeAuto/>
                    <w:default w:val="1"/>
                  </w:checkBox>
                </w:ffData>
              </w:fldChar>
            </w:r>
            <w:bookmarkStart w:id="4" w:name="Check6"/>
            <w:r>
              <w:rPr>
                <w:sz w:val="20"/>
                <w:szCs w:val="20"/>
              </w:rPr>
              <w:instrText xml:space="preserve"> FORMCHECKBOX </w:instrText>
            </w:r>
            <w:r>
              <w:rPr>
                <w:sz w:val="20"/>
                <w:szCs w:val="20"/>
              </w:rPr>
            </w:r>
            <w:r>
              <w:rPr>
                <w:sz w:val="20"/>
                <w:szCs w:val="20"/>
              </w:rPr>
              <w:fldChar w:fldCharType="end"/>
            </w:r>
            <w:bookmarkEnd w:id="4"/>
            <w:r>
              <w:rPr>
                <w:sz w:val="20"/>
                <w:szCs w:val="20"/>
              </w:rPr>
              <w:t xml:space="preserve"> </w:t>
            </w:r>
            <w:r w:rsidRPr="00FD66D9">
              <w:rPr>
                <w:b/>
                <w:sz w:val="24"/>
                <w:szCs w:val="24"/>
              </w:rPr>
              <w:t>2</w:t>
            </w:r>
            <w:r>
              <w:rPr>
                <w:b/>
                <w:sz w:val="24"/>
                <w:szCs w:val="24"/>
              </w:rPr>
              <w:t xml:space="preserve"> Student Learning Outcomes</w:t>
            </w:r>
          </w:p>
          <w:p w:rsidR="002F355B" w:rsidRPr="001471B3" w:rsidRDefault="002F355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2F355B" w:rsidRPr="001471B3" w:rsidRDefault="002F355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2F355B" w:rsidRPr="001471B3" w:rsidRDefault="002F355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2F355B" w:rsidRDefault="002F355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2F355B" w:rsidRPr="001471B3" w:rsidRDefault="002F355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2F355B" w:rsidRPr="001471B3" w:rsidRDefault="002F355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2F355B" w:rsidRPr="001471B3" w:rsidRDefault="002F355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2F355B" w:rsidRPr="00FD66D9" w:rsidRDefault="002F355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2F355B" w:rsidRPr="001471B3" w:rsidRDefault="002F355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2F355B" w:rsidRPr="001471B3" w:rsidRDefault="002F355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2F355B" w:rsidRPr="004519FF" w:rsidRDefault="002F355B"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2F355B" w:rsidTr="00CC7541">
        <w:tc>
          <w:tcPr>
            <w:tcW w:w="10980" w:type="dxa"/>
            <w:gridSpan w:val="4"/>
            <w:tcBorders>
              <w:top w:val="dotted" w:sz="4" w:space="0" w:color="auto"/>
              <w:left w:val="single" w:sz="4" w:space="0" w:color="auto"/>
              <w:bottom w:val="dotted" w:sz="4" w:space="0" w:color="auto"/>
              <w:right w:val="dotted" w:sz="4" w:space="0" w:color="auto"/>
            </w:tcBorders>
          </w:tcPr>
          <w:p w:rsidR="002F355B" w:rsidRPr="002F355B" w:rsidRDefault="002F355B" w:rsidP="00CC7541">
            <w:pPr>
              <w:rPr>
                <w:b/>
                <w:sz w:val="24"/>
                <w:szCs w:val="24"/>
              </w:rPr>
            </w:pPr>
            <w:r w:rsidRPr="005707F9">
              <w:rPr>
                <w:b/>
                <w:sz w:val="24"/>
                <w:szCs w:val="24"/>
              </w:rPr>
              <w:t>Objective:</w:t>
            </w:r>
            <w:r>
              <w:rPr>
                <w:sz w:val="24"/>
                <w:szCs w:val="24"/>
              </w:rPr>
              <w:t xml:space="preserve">   </w:t>
            </w:r>
            <w:r w:rsidRPr="002F355B">
              <w:rPr>
                <w:sz w:val="24"/>
                <w:szCs w:val="24"/>
              </w:rPr>
              <w:t>Develop a mechanism for tracking student completion of AMSL training.</w:t>
            </w:r>
          </w:p>
          <w:p w:rsidR="002F355B" w:rsidRPr="005707F9" w:rsidRDefault="002F355B" w:rsidP="00CC7541">
            <w:pPr>
              <w:rPr>
                <w:sz w:val="24"/>
                <w:szCs w:val="24"/>
              </w:rPr>
            </w:pPr>
          </w:p>
        </w:tc>
        <w:tc>
          <w:tcPr>
            <w:tcW w:w="1980" w:type="dxa"/>
            <w:vMerge/>
            <w:tcBorders>
              <w:left w:val="dotted" w:sz="4" w:space="0" w:color="auto"/>
              <w:right w:val="single" w:sz="4" w:space="0" w:color="auto"/>
            </w:tcBorders>
          </w:tcPr>
          <w:p w:rsidR="002F355B" w:rsidRDefault="002F355B" w:rsidP="00CC7541">
            <w:pPr>
              <w:jc w:val="center"/>
              <w:rPr>
                <w:sz w:val="24"/>
                <w:szCs w:val="24"/>
              </w:rPr>
            </w:pPr>
          </w:p>
        </w:tc>
      </w:tr>
      <w:tr w:rsidR="002F355B" w:rsidTr="00CC7541">
        <w:tc>
          <w:tcPr>
            <w:tcW w:w="10980" w:type="dxa"/>
            <w:gridSpan w:val="4"/>
            <w:tcBorders>
              <w:top w:val="dotted" w:sz="4" w:space="0" w:color="auto"/>
              <w:left w:val="single" w:sz="4" w:space="0" w:color="auto"/>
              <w:bottom w:val="dotted" w:sz="4" w:space="0" w:color="auto"/>
              <w:right w:val="dotted" w:sz="4" w:space="0" w:color="auto"/>
            </w:tcBorders>
            <w:vAlign w:val="center"/>
          </w:tcPr>
          <w:p w:rsidR="002F355B" w:rsidRPr="00455861" w:rsidRDefault="002F355B" w:rsidP="00CC7541">
            <w:pPr>
              <w:jc w:val="center"/>
              <w:rPr>
                <w:b/>
                <w:sz w:val="24"/>
                <w:szCs w:val="24"/>
              </w:rPr>
            </w:pPr>
            <w:r w:rsidRPr="00455861">
              <w:rPr>
                <w:b/>
                <w:sz w:val="24"/>
                <w:szCs w:val="24"/>
              </w:rPr>
              <w:t>RESOURCE PLAN</w:t>
            </w:r>
          </w:p>
          <w:p w:rsidR="002F355B" w:rsidRPr="00455861" w:rsidRDefault="002F355B"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2F355B" w:rsidRDefault="002F355B" w:rsidP="00CC7541">
            <w:pPr>
              <w:rPr>
                <w:sz w:val="24"/>
                <w:szCs w:val="24"/>
              </w:rPr>
            </w:pPr>
          </w:p>
        </w:tc>
      </w:tr>
      <w:tr w:rsidR="002F355B" w:rsidTr="00CC7541">
        <w:trPr>
          <w:trHeight w:val="467"/>
        </w:trPr>
        <w:tc>
          <w:tcPr>
            <w:tcW w:w="10980" w:type="dxa"/>
            <w:gridSpan w:val="4"/>
            <w:tcBorders>
              <w:top w:val="dotted" w:sz="4" w:space="0" w:color="auto"/>
              <w:left w:val="single" w:sz="4" w:space="0" w:color="auto"/>
              <w:bottom w:val="dotted" w:sz="4" w:space="0" w:color="auto"/>
              <w:right w:val="dotted" w:sz="4" w:space="0" w:color="auto"/>
            </w:tcBorders>
          </w:tcPr>
          <w:p w:rsidR="002F355B" w:rsidRDefault="002F355B"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rsidR="002F355B" w:rsidRPr="005707F9" w:rsidRDefault="002F355B" w:rsidP="00CC7541">
            <w:pPr>
              <w:rPr>
                <w:sz w:val="24"/>
                <w:szCs w:val="24"/>
              </w:rPr>
            </w:pPr>
          </w:p>
        </w:tc>
        <w:tc>
          <w:tcPr>
            <w:tcW w:w="1980" w:type="dxa"/>
            <w:vMerge/>
            <w:tcBorders>
              <w:left w:val="dotted" w:sz="4" w:space="0" w:color="auto"/>
              <w:right w:val="single" w:sz="4" w:space="0" w:color="auto"/>
            </w:tcBorders>
          </w:tcPr>
          <w:p w:rsidR="002F355B" w:rsidRDefault="002F355B" w:rsidP="00CC7541">
            <w:pPr>
              <w:rPr>
                <w:sz w:val="24"/>
                <w:szCs w:val="24"/>
              </w:rPr>
            </w:pPr>
          </w:p>
        </w:tc>
      </w:tr>
      <w:tr w:rsidR="002F355B" w:rsidTr="00CC7541">
        <w:trPr>
          <w:trHeight w:val="404"/>
        </w:trPr>
        <w:tc>
          <w:tcPr>
            <w:tcW w:w="10980" w:type="dxa"/>
            <w:gridSpan w:val="4"/>
            <w:tcBorders>
              <w:top w:val="dotted" w:sz="4" w:space="0" w:color="auto"/>
              <w:left w:val="single" w:sz="4" w:space="0" w:color="auto"/>
              <w:bottom w:val="dotted" w:sz="4" w:space="0" w:color="auto"/>
              <w:right w:val="dotted" w:sz="4" w:space="0" w:color="auto"/>
            </w:tcBorders>
          </w:tcPr>
          <w:p w:rsidR="002F355B" w:rsidRDefault="002F355B"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2F355B" w:rsidRDefault="002F355B" w:rsidP="00CC7541">
            <w:pPr>
              <w:rPr>
                <w:sz w:val="24"/>
                <w:szCs w:val="24"/>
              </w:rPr>
            </w:pPr>
          </w:p>
        </w:tc>
      </w:tr>
      <w:tr w:rsidR="002F355B" w:rsidTr="00CC7541">
        <w:trPr>
          <w:trHeight w:val="431"/>
        </w:trPr>
        <w:tc>
          <w:tcPr>
            <w:tcW w:w="10980" w:type="dxa"/>
            <w:gridSpan w:val="4"/>
            <w:tcBorders>
              <w:top w:val="dotted" w:sz="4" w:space="0" w:color="auto"/>
              <w:left w:val="single" w:sz="4" w:space="0" w:color="auto"/>
              <w:bottom w:val="dotted" w:sz="4" w:space="0" w:color="auto"/>
              <w:right w:val="dotted" w:sz="4" w:space="0" w:color="auto"/>
            </w:tcBorders>
          </w:tcPr>
          <w:p w:rsidR="002F355B" w:rsidRPr="00DE05AB" w:rsidRDefault="002F355B" w:rsidP="00DE05AB">
            <w:pPr>
              <w:pStyle w:val="ListParagraph"/>
              <w:numPr>
                <w:ilvl w:val="0"/>
                <w:numId w:val="32"/>
              </w:numPr>
              <w:rPr>
                <w:b/>
                <w:sz w:val="24"/>
                <w:szCs w:val="24"/>
              </w:rPr>
            </w:pPr>
            <w:r w:rsidRPr="002F355B">
              <w:rPr>
                <w:sz w:val="24"/>
                <w:szCs w:val="24"/>
              </w:rPr>
              <w:t>Investigate the feasibility of offering an associate degree or certificate in AMSL.</w:t>
            </w:r>
          </w:p>
        </w:tc>
        <w:tc>
          <w:tcPr>
            <w:tcW w:w="1980" w:type="dxa"/>
            <w:vMerge/>
            <w:tcBorders>
              <w:left w:val="dotted" w:sz="4" w:space="0" w:color="auto"/>
              <w:right w:val="single" w:sz="4" w:space="0" w:color="auto"/>
            </w:tcBorders>
          </w:tcPr>
          <w:p w:rsidR="002F355B" w:rsidRDefault="002F355B" w:rsidP="00CC7541">
            <w:pPr>
              <w:rPr>
                <w:sz w:val="24"/>
                <w:szCs w:val="24"/>
              </w:rPr>
            </w:pPr>
          </w:p>
        </w:tc>
      </w:tr>
      <w:tr w:rsidR="002F355B" w:rsidTr="006A3883">
        <w:trPr>
          <w:trHeight w:val="390"/>
        </w:trPr>
        <w:tc>
          <w:tcPr>
            <w:tcW w:w="10980" w:type="dxa"/>
            <w:gridSpan w:val="4"/>
            <w:tcBorders>
              <w:top w:val="dotted" w:sz="4" w:space="0" w:color="auto"/>
              <w:left w:val="single" w:sz="4" w:space="0" w:color="auto"/>
              <w:bottom w:val="dotted" w:sz="4" w:space="0" w:color="auto"/>
              <w:right w:val="dotted" w:sz="4" w:space="0" w:color="auto"/>
            </w:tcBorders>
          </w:tcPr>
          <w:p w:rsidR="002F355B" w:rsidRDefault="002F355B" w:rsidP="007F2FE0">
            <w:pPr>
              <w:rPr>
                <w:b/>
                <w:sz w:val="24"/>
                <w:szCs w:val="24"/>
              </w:rPr>
            </w:pPr>
            <w:r>
              <w:rPr>
                <w:b/>
                <w:sz w:val="24"/>
                <w:szCs w:val="24"/>
              </w:rPr>
              <w:t xml:space="preserve">Timeline: </w:t>
            </w:r>
            <w:r>
              <w:rPr>
                <w:sz w:val="24"/>
                <w:szCs w:val="24"/>
              </w:rPr>
              <w:t xml:space="preserve">  </w:t>
            </w:r>
            <w:r w:rsidRPr="002F355B">
              <w:rPr>
                <w:sz w:val="24"/>
                <w:szCs w:val="24"/>
              </w:rPr>
              <w:t>2015-16</w:t>
            </w:r>
          </w:p>
        </w:tc>
        <w:tc>
          <w:tcPr>
            <w:tcW w:w="1980" w:type="dxa"/>
            <w:vMerge/>
            <w:tcBorders>
              <w:left w:val="dotted" w:sz="4" w:space="0" w:color="auto"/>
              <w:right w:val="single" w:sz="4" w:space="0" w:color="auto"/>
            </w:tcBorders>
          </w:tcPr>
          <w:p w:rsidR="002F355B" w:rsidRDefault="002F355B" w:rsidP="00CC7541">
            <w:pPr>
              <w:rPr>
                <w:sz w:val="24"/>
                <w:szCs w:val="24"/>
              </w:rPr>
            </w:pPr>
          </w:p>
        </w:tc>
      </w:tr>
      <w:tr w:rsidR="002F355B" w:rsidTr="00CC7541">
        <w:trPr>
          <w:trHeight w:val="390"/>
        </w:trPr>
        <w:tc>
          <w:tcPr>
            <w:tcW w:w="4590" w:type="dxa"/>
            <w:gridSpan w:val="2"/>
            <w:tcBorders>
              <w:top w:val="dotted" w:sz="4" w:space="0" w:color="auto"/>
              <w:left w:val="single" w:sz="4" w:space="0" w:color="auto"/>
              <w:bottom w:val="dotted" w:sz="4" w:space="0" w:color="auto"/>
              <w:right w:val="dotted" w:sz="4" w:space="0" w:color="auto"/>
            </w:tcBorders>
          </w:tcPr>
          <w:p w:rsidR="002F355B" w:rsidRDefault="002F355B" w:rsidP="00CC7541">
            <w:pPr>
              <w:rPr>
                <w:b/>
                <w:sz w:val="24"/>
                <w:szCs w:val="24"/>
              </w:rPr>
            </w:pPr>
            <w:r>
              <w:rPr>
                <w:b/>
                <w:sz w:val="24"/>
                <w:szCs w:val="24"/>
              </w:rPr>
              <w:t>Expense Type</w:t>
            </w:r>
          </w:p>
        </w:tc>
        <w:tc>
          <w:tcPr>
            <w:tcW w:w="3600" w:type="dxa"/>
            <w:tcBorders>
              <w:top w:val="dotted" w:sz="4" w:space="0" w:color="auto"/>
              <w:left w:val="single" w:sz="4" w:space="0" w:color="auto"/>
              <w:right w:val="dotted" w:sz="4" w:space="0" w:color="auto"/>
            </w:tcBorders>
          </w:tcPr>
          <w:p w:rsidR="002F355B" w:rsidRDefault="002F355B"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2F355B" w:rsidRDefault="002F355B"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2F355B" w:rsidRDefault="002F355B" w:rsidP="00CC7541">
            <w:pPr>
              <w:rPr>
                <w:sz w:val="24"/>
                <w:szCs w:val="24"/>
              </w:rPr>
            </w:pPr>
          </w:p>
        </w:tc>
      </w:tr>
      <w:tr w:rsidR="002F355B" w:rsidTr="00CC7541">
        <w:trPr>
          <w:trHeight w:val="674"/>
        </w:trPr>
        <w:tc>
          <w:tcPr>
            <w:tcW w:w="4590" w:type="dxa"/>
            <w:gridSpan w:val="2"/>
            <w:tcBorders>
              <w:top w:val="dotted" w:sz="4" w:space="0" w:color="auto"/>
              <w:left w:val="single" w:sz="4" w:space="0" w:color="auto"/>
              <w:bottom w:val="dotted" w:sz="4" w:space="0" w:color="auto"/>
              <w:right w:val="dotted" w:sz="4" w:space="0" w:color="auto"/>
            </w:tcBorders>
          </w:tcPr>
          <w:p w:rsidR="002F355B" w:rsidRDefault="002F355B"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2F355B" w:rsidRPr="005707F9" w:rsidRDefault="002F355B"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tcBorders>
              <w:left w:val="single" w:sz="4" w:space="0" w:color="auto"/>
              <w:bottom w:val="dotted" w:sz="4" w:space="0" w:color="auto"/>
              <w:right w:val="dotted" w:sz="4" w:space="0" w:color="auto"/>
            </w:tcBorders>
          </w:tcPr>
          <w:p w:rsidR="002F355B" w:rsidRDefault="002F355B"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rsidR="002F355B" w:rsidRPr="005707F9" w:rsidRDefault="002F355B"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left w:val="single" w:sz="4" w:space="0" w:color="auto"/>
              <w:bottom w:val="dotted" w:sz="4" w:space="0" w:color="auto"/>
              <w:right w:val="dotted" w:sz="4" w:space="0" w:color="auto"/>
            </w:tcBorders>
          </w:tcPr>
          <w:p w:rsidR="002F355B" w:rsidRDefault="002F355B"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2F355B" w:rsidRDefault="002F355B" w:rsidP="00CC7541">
            <w:pPr>
              <w:rPr>
                <w:sz w:val="24"/>
                <w:szCs w:val="24"/>
              </w:rPr>
            </w:pP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Pr="002F355B" w:rsidRDefault="00FE1500" w:rsidP="00CC7541">
            <w:pPr>
              <w:rPr>
                <w:b/>
                <w:sz w:val="24"/>
                <w:szCs w:val="24"/>
              </w:rPr>
            </w:pPr>
            <w:r>
              <w:rPr>
                <w:b/>
                <w:sz w:val="24"/>
                <w:szCs w:val="24"/>
              </w:rPr>
              <w:t xml:space="preserve">How will this objective be measured? </w:t>
            </w:r>
            <w:r w:rsidR="00CC0F0C">
              <w:rPr>
                <w:sz w:val="24"/>
                <w:szCs w:val="24"/>
              </w:rPr>
              <w:t xml:space="preserve">  </w:t>
            </w:r>
            <w:r w:rsidR="00CC0F0C" w:rsidRPr="002F355B">
              <w:rPr>
                <w:sz w:val="24"/>
                <w:szCs w:val="24"/>
              </w:rPr>
              <w:t>A recommendation for a new associate degree or certificate wi</w:t>
            </w:r>
            <w:r w:rsidR="00DE05AB">
              <w:rPr>
                <w:sz w:val="24"/>
                <w:szCs w:val="24"/>
              </w:rPr>
              <w:t>ll be submitted.</w:t>
            </w:r>
          </w:p>
          <w:p w:rsidR="00FE1500" w:rsidRPr="00663FC5" w:rsidRDefault="00FE1500" w:rsidP="00CC7541">
            <w:pPr>
              <w:rPr>
                <w:b/>
                <w:sz w:val="24"/>
                <w:szCs w:val="24"/>
              </w:rPr>
            </w:pP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Default="00FE1500" w:rsidP="00CC7541">
            <w:pPr>
              <w:rPr>
                <w:b/>
                <w:sz w:val="24"/>
                <w:szCs w:val="24"/>
              </w:rPr>
            </w:pPr>
            <w:r>
              <w:rPr>
                <w:b/>
                <w:sz w:val="24"/>
                <w:szCs w:val="24"/>
              </w:rPr>
              <w:t xml:space="preserve">How will the completion of tasks identified improve student/program success? </w:t>
            </w:r>
            <w:r w:rsidR="00CC0F0C">
              <w:rPr>
                <w:sz w:val="24"/>
                <w:szCs w:val="24"/>
              </w:rPr>
              <w:t xml:space="preserve">  </w:t>
            </w:r>
            <w:r w:rsidR="00CC0F0C" w:rsidRPr="002F355B">
              <w:rPr>
                <w:sz w:val="24"/>
                <w:szCs w:val="24"/>
              </w:rPr>
              <w:t>The recognition of degree or certificate completion will improve student interest and program success.</w:t>
            </w: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CC0F0C">
              <w:rPr>
                <w:sz w:val="24"/>
                <w:szCs w:val="24"/>
              </w:rPr>
              <w:t xml:space="preserve">  </w:t>
            </w:r>
            <w:proofErr w:type="spellStart"/>
            <w:r w:rsidR="00CC0F0C" w:rsidRPr="002F355B">
              <w:rPr>
                <w:sz w:val="24"/>
                <w:szCs w:val="24"/>
              </w:rPr>
              <w:t>Liisa</w:t>
            </w:r>
            <w:proofErr w:type="spellEnd"/>
            <w:r w:rsidR="00CC0F0C" w:rsidRPr="002F355B">
              <w:rPr>
                <w:sz w:val="24"/>
                <w:szCs w:val="24"/>
              </w:rPr>
              <w:t xml:space="preserve"> Mendoza and Jos</w:t>
            </w:r>
            <w:r w:rsidR="00CC0F0C" w:rsidRPr="002F355B">
              <w:rPr>
                <w:rFonts w:cstheme="minorHAnsi"/>
                <w:sz w:val="24"/>
                <w:szCs w:val="24"/>
              </w:rPr>
              <w:t>é</w:t>
            </w:r>
            <w:r w:rsidR="00CC0F0C" w:rsidRPr="002F355B">
              <w:rPr>
                <w:sz w:val="24"/>
                <w:szCs w:val="24"/>
              </w:rPr>
              <w:t xml:space="preserve"> Ruiz.</w:t>
            </w:r>
          </w:p>
        </w:tc>
      </w:tr>
    </w:tbl>
    <w:p w:rsidR="00913438" w:rsidRPr="00DE05AB" w:rsidRDefault="00913438" w:rsidP="00A615C4">
      <w:pPr>
        <w:pStyle w:val="ListParagraph"/>
        <w:keepLines/>
        <w:spacing w:after="0" w:line="240" w:lineRule="auto"/>
        <w:ind w:left="1080"/>
        <w:rPr>
          <w:b/>
          <w:sz w:val="16"/>
          <w:szCs w:val="16"/>
        </w:rPr>
      </w:pPr>
    </w:p>
    <w:sectPr w:rsidR="00913438" w:rsidRPr="00DE05AB" w:rsidSect="002B1890">
      <w:footerReference w:type="default" r:id="rId10"/>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94" w:rsidRDefault="008A1D94" w:rsidP="00C269D2">
      <w:pPr>
        <w:spacing w:after="0" w:line="240" w:lineRule="auto"/>
      </w:pPr>
      <w:r>
        <w:separator/>
      </w:r>
    </w:p>
  </w:endnote>
  <w:endnote w:type="continuationSeparator" w:id="0">
    <w:p w:rsidR="008A1D94" w:rsidRDefault="008A1D94"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lump MT">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94" w:rsidRDefault="008A1D94">
    <w:pPr>
      <w:pStyle w:val="Footer"/>
      <w:rPr>
        <w:color w:val="000000" w:themeColor="text1"/>
        <w:sz w:val="24"/>
        <w:szCs w:val="24"/>
      </w:rPr>
    </w:pPr>
    <w:r>
      <w:rPr>
        <w:color w:val="000000" w:themeColor="text1"/>
        <w:sz w:val="24"/>
        <w:szCs w:val="24"/>
      </w:rPr>
      <w:t>Academic Program Review</w:t>
    </w:r>
  </w:p>
  <w:p w:rsidR="008A1D94" w:rsidRDefault="008A1D94">
    <w:pPr>
      <w:pStyle w:val="Footer"/>
    </w:pPr>
    <w:r>
      <w:rPr>
        <w:color w:val="000000" w:themeColor="text1"/>
        <w:sz w:val="18"/>
        <w:szCs w:val="24"/>
      </w:rPr>
      <w:t>08/15/2014</w:t>
    </w:r>
    <w:r w:rsidR="00CD2CA9">
      <w:rPr>
        <w:noProof/>
      </w:rPr>
      <w:pict>
        <v:shapetype id="_x0000_t202" coordsize="21600,21600" o:spt="202" path="m,l,21600r21600,l21600,xe">
          <v:stroke joinstyle="miter"/>
          <v:path gradientshapeok="t" o:connecttype="rect"/>
        </v:shapetype>
        <v:shape id="Text Box 56" o:spid="_x0000_s6146" type="#_x0000_t202" style="position:absolute;margin-left:349.2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8A1D94" w:rsidRDefault="008A1D9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CD2CA9">
                  <w:rPr>
                    <w:rFonts w:asciiTheme="majorHAnsi" w:hAnsiTheme="majorHAnsi"/>
                    <w:noProof/>
                    <w:color w:val="000000" w:themeColor="text1"/>
                    <w:sz w:val="40"/>
                    <w:szCs w:val="40"/>
                  </w:rPr>
                  <w:t>7</w:t>
                </w:r>
                <w:r>
                  <w:rPr>
                    <w:rFonts w:asciiTheme="majorHAnsi" w:hAnsiTheme="majorHAnsi"/>
                    <w:color w:val="000000" w:themeColor="text1"/>
                    <w:sz w:val="40"/>
                    <w:szCs w:val="40"/>
                  </w:rPr>
                  <w:fldChar w:fldCharType="end"/>
                </w:r>
              </w:p>
            </w:txbxContent>
          </v:textbox>
          <w10:wrap anchorx="margin" anchory="margin"/>
        </v:shape>
      </w:pict>
    </w:r>
    <w:r w:rsidR="00CD2CA9">
      <w:rPr>
        <w:noProof/>
        <w:color w:val="4F81BD" w:themeColor="accent1"/>
      </w:rPr>
      <w:pict>
        <v:rect id="Rectangle 58" o:spid="_x0000_s6145"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94" w:rsidRDefault="008A1D94" w:rsidP="00C269D2">
      <w:pPr>
        <w:spacing w:after="0" w:line="240" w:lineRule="auto"/>
      </w:pPr>
      <w:r>
        <w:separator/>
      </w:r>
    </w:p>
  </w:footnote>
  <w:footnote w:type="continuationSeparator" w:id="0">
    <w:p w:rsidR="008A1D94" w:rsidRDefault="008A1D94" w:rsidP="00C269D2">
      <w:pPr>
        <w:spacing w:after="0" w:line="240" w:lineRule="auto"/>
      </w:pPr>
      <w:r>
        <w:continuationSeparator/>
      </w:r>
    </w:p>
  </w:footnote>
  <w:footnote w:id="1">
    <w:p w:rsidR="008A1D94" w:rsidRDefault="008A1D94">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12"/>
  </w:num>
  <w:num w:numId="5">
    <w:abstractNumId w:val="30"/>
  </w:num>
  <w:num w:numId="6">
    <w:abstractNumId w:val="25"/>
  </w:num>
  <w:num w:numId="7">
    <w:abstractNumId w:val="9"/>
  </w:num>
  <w:num w:numId="8">
    <w:abstractNumId w:val="29"/>
  </w:num>
  <w:num w:numId="9">
    <w:abstractNumId w:val="16"/>
  </w:num>
  <w:num w:numId="10">
    <w:abstractNumId w:val="1"/>
  </w:num>
  <w:num w:numId="11">
    <w:abstractNumId w:val="14"/>
  </w:num>
  <w:num w:numId="12">
    <w:abstractNumId w:val="15"/>
  </w:num>
  <w:num w:numId="13">
    <w:abstractNumId w:val="18"/>
  </w:num>
  <w:num w:numId="14">
    <w:abstractNumId w:val="6"/>
  </w:num>
  <w:num w:numId="15">
    <w:abstractNumId w:val="3"/>
  </w:num>
  <w:num w:numId="16">
    <w:abstractNumId w:val="37"/>
  </w:num>
  <w:num w:numId="17">
    <w:abstractNumId w:val="20"/>
  </w:num>
  <w:num w:numId="18">
    <w:abstractNumId w:val="33"/>
  </w:num>
  <w:num w:numId="19">
    <w:abstractNumId w:val="26"/>
  </w:num>
  <w:num w:numId="20">
    <w:abstractNumId w:val="27"/>
  </w:num>
  <w:num w:numId="21">
    <w:abstractNumId w:val="22"/>
  </w:num>
  <w:num w:numId="22">
    <w:abstractNumId w:val="11"/>
  </w:num>
  <w:num w:numId="23">
    <w:abstractNumId w:val="10"/>
  </w:num>
  <w:num w:numId="24">
    <w:abstractNumId w:val="4"/>
  </w:num>
  <w:num w:numId="25">
    <w:abstractNumId w:val="24"/>
  </w:num>
  <w:num w:numId="26">
    <w:abstractNumId w:val="35"/>
  </w:num>
  <w:num w:numId="27">
    <w:abstractNumId w:val="13"/>
  </w:num>
  <w:num w:numId="28">
    <w:abstractNumId w:val="31"/>
  </w:num>
  <w:num w:numId="29">
    <w:abstractNumId w:val="34"/>
  </w:num>
  <w:num w:numId="30">
    <w:abstractNumId w:val="21"/>
  </w:num>
  <w:num w:numId="31">
    <w:abstractNumId w:val="32"/>
  </w:num>
  <w:num w:numId="32">
    <w:abstractNumId w:val="28"/>
  </w:num>
  <w:num w:numId="33">
    <w:abstractNumId w:val="23"/>
  </w:num>
  <w:num w:numId="34">
    <w:abstractNumId w:val="7"/>
  </w:num>
  <w:num w:numId="35">
    <w:abstractNumId w:val="36"/>
  </w:num>
  <w:num w:numId="36">
    <w:abstractNumId w:val="0"/>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2EC5"/>
    <w:rsid w:val="00063F23"/>
    <w:rsid w:val="00081A8E"/>
    <w:rsid w:val="00085642"/>
    <w:rsid w:val="000A2181"/>
    <w:rsid w:val="000A56FF"/>
    <w:rsid w:val="000B4ECC"/>
    <w:rsid w:val="000C3BC9"/>
    <w:rsid w:val="000D01C8"/>
    <w:rsid w:val="000F7EED"/>
    <w:rsid w:val="00110022"/>
    <w:rsid w:val="0013472B"/>
    <w:rsid w:val="001471B3"/>
    <w:rsid w:val="00153AAF"/>
    <w:rsid w:val="00161A08"/>
    <w:rsid w:val="001824BF"/>
    <w:rsid w:val="001B0E63"/>
    <w:rsid w:val="001B3E09"/>
    <w:rsid w:val="001C0FA5"/>
    <w:rsid w:val="001C31AE"/>
    <w:rsid w:val="001C394F"/>
    <w:rsid w:val="001C4679"/>
    <w:rsid w:val="001C6B1A"/>
    <w:rsid w:val="0021103C"/>
    <w:rsid w:val="00211B80"/>
    <w:rsid w:val="00223F78"/>
    <w:rsid w:val="00227FAE"/>
    <w:rsid w:val="0023193A"/>
    <w:rsid w:val="002423D1"/>
    <w:rsid w:val="00242642"/>
    <w:rsid w:val="002521F9"/>
    <w:rsid w:val="00257C76"/>
    <w:rsid w:val="00266594"/>
    <w:rsid w:val="00271A0B"/>
    <w:rsid w:val="0027483A"/>
    <w:rsid w:val="0028431E"/>
    <w:rsid w:val="002B1890"/>
    <w:rsid w:val="002D5944"/>
    <w:rsid w:val="002E4353"/>
    <w:rsid w:val="002F355B"/>
    <w:rsid w:val="002F5CCA"/>
    <w:rsid w:val="003204B1"/>
    <w:rsid w:val="003222BD"/>
    <w:rsid w:val="0033475C"/>
    <w:rsid w:val="003648E7"/>
    <w:rsid w:val="0038519F"/>
    <w:rsid w:val="00391312"/>
    <w:rsid w:val="0039232D"/>
    <w:rsid w:val="003A0610"/>
    <w:rsid w:val="003A1571"/>
    <w:rsid w:val="003B17D4"/>
    <w:rsid w:val="003C5CD3"/>
    <w:rsid w:val="003F7DA7"/>
    <w:rsid w:val="004111B8"/>
    <w:rsid w:val="00430A81"/>
    <w:rsid w:val="004519FF"/>
    <w:rsid w:val="00455861"/>
    <w:rsid w:val="004578EE"/>
    <w:rsid w:val="0047062C"/>
    <w:rsid w:val="0049554C"/>
    <w:rsid w:val="004A2B92"/>
    <w:rsid w:val="004A7487"/>
    <w:rsid w:val="004B2E2D"/>
    <w:rsid w:val="004B7383"/>
    <w:rsid w:val="004C4E7F"/>
    <w:rsid w:val="004D4D45"/>
    <w:rsid w:val="004F1EA0"/>
    <w:rsid w:val="00541352"/>
    <w:rsid w:val="00555678"/>
    <w:rsid w:val="00556AD5"/>
    <w:rsid w:val="005707F9"/>
    <w:rsid w:val="0057128D"/>
    <w:rsid w:val="00582961"/>
    <w:rsid w:val="00594CC6"/>
    <w:rsid w:val="00597F48"/>
    <w:rsid w:val="005A2DE3"/>
    <w:rsid w:val="005A6C4B"/>
    <w:rsid w:val="005B2E09"/>
    <w:rsid w:val="005B59C1"/>
    <w:rsid w:val="005B72F8"/>
    <w:rsid w:val="005C3A5A"/>
    <w:rsid w:val="005E6467"/>
    <w:rsid w:val="005E71F4"/>
    <w:rsid w:val="005F09EA"/>
    <w:rsid w:val="00603C62"/>
    <w:rsid w:val="00613585"/>
    <w:rsid w:val="00621634"/>
    <w:rsid w:val="00633C95"/>
    <w:rsid w:val="00641F0C"/>
    <w:rsid w:val="006454E3"/>
    <w:rsid w:val="006460B3"/>
    <w:rsid w:val="0065718C"/>
    <w:rsid w:val="00663719"/>
    <w:rsid w:val="00670782"/>
    <w:rsid w:val="006854CC"/>
    <w:rsid w:val="00691A49"/>
    <w:rsid w:val="006A3883"/>
    <w:rsid w:val="006A7684"/>
    <w:rsid w:val="006B712B"/>
    <w:rsid w:val="006B7217"/>
    <w:rsid w:val="006C57BD"/>
    <w:rsid w:val="006C664D"/>
    <w:rsid w:val="006C7590"/>
    <w:rsid w:val="006D1FC2"/>
    <w:rsid w:val="006D2FCF"/>
    <w:rsid w:val="006D4F29"/>
    <w:rsid w:val="006D7617"/>
    <w:rsid w:val="006F24F1"/>
    <w:rsid w:val="00700A8A"/>
    <w:rsid w:val="00707C2F"/>
    <w:rsid w:val="00713C87"/>
    <w:rsid w:val="0071593B"/>
    <w:rsid w:val="007250CF"/>
    <w:rsid w:val="00725D31"/>
    <w:rsid w:val="007440FF"/>
    <w:rsid w:val="0074659D"/>
    <w:rsid w:val="00766C97"/>
    <w:rsid w:val="0079256B"/>
    <w:rsid w:val="007B215C"/>
    <w:rsid w:val="007B6E52"/>
    <w:rsid w:val="007C03A7"/>
    <w:rsid w:val="007D1955"/>
    <w:rsid w:val="007E4294"/>
    <w:rsid w:val="007F00B5"/>
    <w:rsid w:val="007F1BF9"/>
    <w:rsid w:val="007F2FE0"/>
    <w:rsid w:val="00800B1E"/>
    <w:rsid w:val="008062A4"/>
    <w:rsid w:val="008132B4"/>
    <w:rsid w:val="00826F45"/>
    <w:rsid w:val="00827180"/>
    <w:rsid w:val="00830EAF"/>
    <w:rsid w:val="00845E03"/>
    <w:rsid w:val="00845F64"/>
    <w:rsid w:val="0085021D"/>
    <w:rsid w:val="00875F92"/>
    <w:rsid w:val="00884601"/>
    <w:rsid w:val="00884D0C"/>
    <w:rsid w:val="00885966"/>
    <w:rsid w:val="008A1D94"/>
    <w:rsid w:val="008A48AC"/>
    <w:rsid w:val="008E24F9"/>
    <w:rsid w:val="008E5C12"/>
    <w:rsid w:val="008E6322"/>
    <w:rsid w:val="008F1519"/>
    <w:rsid w:val="008F6DD3"/>
    <w:rsid w:val="00913438"/>
    <w:rsid w:val="00922886"/>
    <w:rsid w:val="00937B09"/>
    <w:rsid w:val="0094250C"/>
    <w:rsid w:val="009441D9"/>
    <w:rsid w:val="00944407"/>
    <w:rsid w:val="00946D62"/>
    <w:rsid w:val="0097680B"/>
    <w:rsid w:val="00980E0C"/>
    <w:rsid w:val="00987B31"/>
    <w:rsid w:val="009968E8"/>
    <w:rsid w:val="009A1ADE"/>
    <w:rsid w:val="009D0246"/>
    <w:rsid w:val="009D3A48"/>
    <w:rsid w:val="009F08F0"/>
    <w:rsid w:val="00A2467D"/>
    <w:rsid w:val="00A257C2"/>
    <w:rsid w:val="00A45741"/>
    <w:rsid w:val="00A615C4"/>
    <w:rsid w:val="00A62DE0"/>
    <w:rsid w:val="00A651CD"/>
    <w:rsid w:val="00A95A5F"/>
    <w:rsid w:val="00AA4E8F"/>
    <w:rsid w:val="00AA50E5"/>
    <w:rsid w:val="00AD4987"/>
    <w:rsid w:val="00AE0185"/>
    <w:rsid w:val="00AE599F"/>
    <w:rsid w:val="00AE5C40"/>
    <w:rsid w:val="00AF6F82"/>
    <w:rsid w:val="00B05E52"/>
    <w:rsid w:val="00B146E2"/>
    <w:rsid w:val="00B221A1"/>
    <w:rsid w:val="00B25FA2"/>
    <w:rsid w:val="00B30971"/>
    <w:rsid w:val="00B7127A"/>
    <w:rsid w:val="00B7252F"/>
    <w:rsid w:val="00B91965"/>
    <w:rsid w:val="00BA0153"/>
    <w:rsid w:val="00BA22FE"/>
    <w:rsid w:val="00BA2412"/>
    <w:rsid w:val="00BA2EC9"/>
    <w:rsid w:val="00BD2BA5"/>
    <w:rsid w:val="00BD5E72"/>
    <w:rsid w:val="00BF037A"/>
    <w:rsid w:val="00C059EE"/>
    <w:rsid w:val="00C0717C"/>
    <w:rsid w:val="00C15830"/>
    <w:rsid w:val="00C269D2"/>
    <w:rsid w:val="00C32B0F"/>
    <w:rsid w:val="00C34C62"/>
    <w:rsid w:val="00C3746B"/>
    <w:rsid w:val="00C521EC"/>
    <w:rsid w:val="00C557F5"/>
    <w:rsid w:val="00C61A1E"/>
    <w:rsid w:val="00C621EA"/>
    <w:rsid w:val="00C9513F"/>
    <w:rsid w:val="00CB229C"/>
    <w:rsid w:val="00CB6263"/>
    <w:rsid w:val="00CC0F0C"/>
    <w:rsid w:val="00CC408C"/>
    <w:rsid w:val="00CC41A3"/>
    <w:rsid w:val="00CC5AEE"/>
    <w:rsid w:val="00CC7541"/>
    <w:rsid w:val="00CD2CA9"/>
    <w:rsid w:val="00CD76AB"/>
    <w:rsid w:val="00CE78BF"/>
    <w:rsid w:val="00CF1504"/>
    <w:rsid w:val="00D001FF"/>
    <w:rsid w:val="00D13C67"/>
    <w:rsid w:val="00D140DE"/>
    <w:rsid w:val="00D14F76"/>
    <w:rsid w:val="00D46DD5"/>
    <w:rsid w:val="00D6026F"/>
    <w:rsid w:val="00D603E8"/>
    <w:rsid w:val="00D67F65"/>
    <w:rsid w:val="00D7054E"/>
    <w:rsid w:val="00D84502"/>
    <w:rsid w:val="00D847BE"/>
    <w:rsid w:val="00D9584C"/>
    <w:rsid w:val="00D95CD2"/>
    <w:rsid w:val="00D976AD"/>
    <w:rsid w:val="00DC09C6"/>
    <w:rsid w:val="00DD2F05"/>
    <w:rsid w:val="00DD6F85"/>
    <w:rsid w:val="00DE05AB"/>
    <w:rsid w:val="00E3356B"/>
    <w:rsid w:val="00E364FB"/>
    <w:rsid w:val="00E50713"/>
    <w:rsid w:val="00E63051"/>
    <w:rsid w:val="00E87BA0"/>
    <w:rsid w:val="00E948C7"/>
    <w:rsid w:val="00ED6C47"/>
    <w:rsid w:val="00EF1EC8"/>
    <w:rsid w:val="00EF4BD8"/>
    <w:rsid w:val="00F05B37"/>
    <w:rsid w:val="00F072A5"/>
    <w:rsid w:val="00F174C8"/>
    <w:rsid w:val="00F21AAB"/>
    <w:rsid w:val="00F2746A"/>
    <w:rsid w:val="00F60651"/>
    <w:rsid w:val="00F84054"/>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4CBC-9873-4458-BF11-86CE6F13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11</cp:revision>
  <cp:lastPrinted>2014-10-02T18:36:00Z</cp:lastPrinted>
  <dcterms:created xsi:type="dcterms:W3CDTF">2014-09-25T20:50:00Z</dcterms:created>
  <dcterms:modified xsi:type="dcterms:W3CDTF">2014-10-02T18:37:00Z</dcterms:modified>
</cp:coreProperties>
</file>