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6B" w:rsidRPr="00043E27" w:rsidRDefault="0005417A" w:rsidP="00043E27">
      <w:pPr>
        <w:spacing w:after="0" w:line="240" w:lineRule="auto"/>
        <w:ind w:firstLine="720"/>
        <w:jc w:val="center"/>
        <w:rPr>
          <w:rFonts w:ascii="Plump MT" w:hAnsi="Plump MT"/>
          <w:sz w:val="52"/>
          <w:szCs w:val="52"/>
        </w:rPr>
      </w:pPr>
      <w:r w:rsidRPr="00043E27">
        <w:rPr>
          <w:rFonts w:ascii="Plump MT" w:hAnsi="Plump MT"/>
          <w:noProof/>
          <w:sz w:val="52"/>
          <w:szCs w:val="52"/>
        </w:rPr>
        <mc:AlternateContent>
          <mc:Choice Requires="wps">
            <w:drawing>
              <wp:anchor distT="0" distB="0" distL="114300" distR="114300" simplePos="0" relativeHeight="251659264" behindDoc="1" locked="0" layoutInCell="1" allowOverlap="1" wp14:anchorId="328678AA" wp14:editId="6BCFDB56">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373A2D" w:rsidRDefault="00373A2D">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373A2D" w:rsidRDefault="00373A2D">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2610"/>
        <w:gridCol w:w="3438"/>
        <w:gridCol w:w="6912"/>
      </w:tblGrid>
      <w:tr w:rsidR="000403F6" w:rsidTr="00D6026F">
        <w:tc>
          <w:tcPr>
            <w:tcW w:w="2610"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3438" w:type="dxa"/>
            <w:vAlign w:val="center"/>
          </w:tcPr>
          <w:p w:rsidR="000403F6" w:rsidRDefault="002C6F20" w:rsidP="007E4294">
            <w:pPr>
              <w:rPr>
                <w:sz w:val="24"/>
                <w:szCs w:val="24"/>
              </w:rPr>
            </w:pPr>
            <w:r>
              <w:rPr>
                <w:sz w:val="24"/>
                <w:szCs w:val="24"/>
              </w:rPr>
              <w:t>2012-2013</w:t>
            </w:r>
          </w:p>
        </w:tc>
        <w:tc>
          <w:tcPr>
            <w:tcW w:w="6912" w:type="dxa"/>
            <w:vAlign w:val="center"/>
          </w:tcPr>
          <w:p w:rsidR="000403F6" w:rsidRDefault="00046042" w:rsidP="002C6F20">
            <w:pP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BA22FE">
              <w:rPr>
                <w:sz w:val="24"/>
                <w:szCs w:val="24"/>
              </w:rPr>
              <w:t>Basic Skills</w:t>
            </w:r>
            <w:r w:rsidR="00271A0B">
              <w:rPr>
                <w:sz w:val="24"/>
                <w:szCs w:val="24"/>
              </w:rPr>
              <w:t xml:space="preserve">   </w:t>
            </w:r>
            <w:r w:rsidR="00D6026F" w:rsidRPr="00D6026F">
              <w:rPr>
                <w:szCs w:val="24"/>
              </w:rPr>
              <w:t xml:space="preserve"> </w:t>
            </w:r>
            <w:r w:rsidR="002C6F20">
              <w:rPr>
                <w:sz w:val="24"/>
                <w:szCs w:val="24"/>
              </w:rPr>
              <w:fldChar w:fldCharType="begin">
                <w:ffData>
                  <w:name w:val=""/>
                  <w:enabled/>
                  <w:calcOnExit w:val="0"/>
                  <w:checkBox>
                    <w:sizeAuto/>
                    <w:default w:val="1"/>
                  </w:checkBox>
                </w:ffData>
              </w:fldChar>
            </w:r>
            <w:r w:rsidR="002C6F20">
              <w:rPr>
                <w:sz w:val="24"/>
                <w:szCs w:val="24"/>
              </w:rPr>
              <w:instrText xml:space="preserve"> FORMCHECKBOX </w:instrText>
            </w:r>
            <w:r w:rsidR="002C6F20">
              <w:rPr>
                <w:sz w:val="24"/>
                <w:szCs w:val="24"/>
              </w:rPr>
            </w:r>
            <w:r w:rsidR="002C6F20">
              <w:rPr>
                <w:sz w:val="24"/>
                <w:szCs w:val="24"/>
              </w:rPr>
              <w:fldChar w:fldCharType="end"/>
            </w:r>
            <w:r>
              <w:rPr>
                <w:sz w:val="24"/>
                <w:szCs w:val="24"/>
              </w:rPr>
              <w:t xml:space="preserve"> </w:t>
            </w:r>
            <w:r w:rsidR="000403F6" w:rsidRPr="001C394F">
              <w:rPr>
                <w:sz w:val="24"/>
                <w:szCs w:val="24"/>
              </w:rPr>
              <w:t>Transfer</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271A0B">
              <w:rPr>
                <w:sz w:val="24"/>
                <w:szCs w:val="24"/>
              </w:rPr>
              <w:t>Career Technical Education (CTE)</w:t>
            </w:r>
          </w:p>
        </w:tc>
      </w:tr>
      <w:tr w:rsidR="000403F6" w:rsidTr="004B7383">
        <w:tc>
          <w:tcPr>
            <w:tcW w:w="2610" w:type="dxa"/>
            <w:vAlign w:val="center"/>
          </w:tcPr>
          <w:p w:rsidR="000403F6" w:rsidRDefault="000403F6" w:rsidP="00AE599F">
            <w:pPr>
              <w:rPr>
                <w:b/>
                <w:sz w:val="32"/>
                <w:szCs w:val="32"/>
              </w:rPr>
            </w:pPr>
            <w:r>
              <w:rPr>
                <w:b/>
                <w:sz w:val="32"/>
                <w:szCs w:val="32"/>
              </w:rPr>
              <w:t>PROGRAM</w:t>
            </w:r>
          </w:p>
        </w:tc>
        <w:tc>
          <w:tcPr>
            <w:tcW w:w="10350" w:type="dxa"/>
            <w:gridSpan w:val="2"/>
            <w:vAlign w:val="center"/>
          </w:tcPr>
          <w:p w:rsidR="000403F6" w:rsidRPr="001C394F" w:rsidRDefault="002C6F20" w:rsidP="004B7383">
            <w:pPr>
              <w:rPr>
                <w:sz w:val="24"/>
                <w:szCs w:val="24"/>
              </w:rPr>
            </w:pPr>
            <w:r>
              <w:rPr>
                <w:sz w:val="24"/>
                <w:szCs w:val="24"/>
              </w:rPr>
              <w:t>Physical Science</w:t>
            </w:r>
          </w:p>
        </w:tc>
      </w:tr>
      <w:tr w:rsidR="000403F6" w:rsidTr="004B7383">
        <w:tc>
          <w:tcPr>
            <w:tcW w:w="2610" w:type="dxa"/>
            <w:vAlign w:val="center"/>
          </w:tcPr>
          <w:p w:rsidR="000403F6" w:rsidRPr="000403F6" w:rsidRDefault="000403F6" w:rsidP="00AE599F">
            <w:pPr>
              <w:rPr>
                <w:b/>
                <w:sz w:val="32"/>
                <w:szCs w:val="32"/>
              </w:rPr>
            </w:pPr>
            <w:r>
              <w:rPr>
                <w:b/>
                <w:sz w:val="32"/>
                <w:szCs w:val="32"/>
              </w:rPr>
              <w:t>DEPARTMENT</w:t>
            </w:r>
          </w:p>
        </w:tc>
        <w:tc>
          <w:tcPr>
            <w:tcW w:w="10350" w:type="dxa"/>
            <w:gridSpan w:val="2"/>
            <w:vAlign w:val="center"/>
          </w:tcPr>
          <w:p w:rsidR="000403F6" w:rsidRPr="001C394F" w:rsidRDefault="002C6F20" w:rsidP="002C6F20">
            <w:pPr>
              <w:rPr>
                <w:sz w:val="24"/>
                <w:szCs w:val="24"/>
              </w:rPr>
            </w:pPr>
            <w:bookmarkStart w:id="0" w:name="Dropdown2"/>
            <w:r>
              <w:rPr>
                <w:sz w:val="24"/>
                <w:szCs w:val="24"/>
              </w:rPr>
              <w:t>S</w:t>
            </w:r>
            <w:bookmarkEnd w:id="0"/>
            <w:r>
              <w:rPr>
                <w:sz w:val="24"/>
                <w:szCs w:val="24"/>
              </w:rPr>
              <w:t>cience, Math, and Engineering</w:t>
            </w:r>
          </w:p>
        </w:tc>
      </w:tr>
      <w:tr w:rsidR="000403F6" w:rsidTr="004B7383">
        <w:tc>
          <w:tcPr>
            <w:tcW w:w="2610" w:type="dxa"/>
            <w:vAlign w:val="center"/>
          </w:tcPr>
          <w:p w:rsidR="000403F6" w:rsidRDefault="000403F6" w:rsidP="00AE599F">
            <w:pPr>
              <w:rPr>
                <w:b/>
                <w:sz w:val="32"/>
                <w:szCs w:val="32"/>
              </w:rPr>
            </w:pPr>
            <w:r>
              <w:rPr>
                <w:b/>
                <w:sz w:val="32"/>
                <w:szCs w:val="32"/>
              </w:rPr>
              <w:t>DIVISION</w:t>
            </w:r>
          </w:p>
        </w:tc>
        <w:tc>
          <w:tcPr>
            <w:tcW w:w="10350" w:type="dxa"/>
            <w:gridSpan w:val="2"/>
            <w:vAlign w:val="center"/>
          </w:tcPr>
          <w:p w:rsidR="000403F6" w:rsidRPr="001C394F" w:rsidRDefault="002C6F20" w:rsidP="004B7383">
            <w:pPr>
              <w:rPr>
                <w:sz w:val="24"/>
                <w:szCs w:val="24"/>
              </w:rPr>
            </w:pPr>
            <w:r>
              <w:rPr>
                <w:sz w:val="24"/>
                <w:szCs w:val="24"/>
              </w:rPr>
              <w:t>Health and Sciences</w:t>
            </w:r>
          </w:p>
        </w:tc>
      </w:tr>
      <w:tr w:rsidR="0097680B" w:rsidTr="004B7383">
        <w:tc>
          <w:tcPr>
            <w:tcW w:w="2610" w:type="dxa"/>
            <w:vAlign w:val="center"/>
          </w:tcPr>
          <w:p w:rsidR="0097680B" w:rsidRDefault="0097680B" w:rsidP="00AE599F">
            <w:pPr>
              <w:rPr>
                <w:b/>
                <w:sz w:val="32"/>
                <w:szCs w:val="32"/>
              </w:rPr>
            </w:pPr>
            <w:r>
              <w:rPr>
                <w:b/>
                <w:sz w:val="32"/>
                <w:szCs w:val="32"/>
              </w:rPr>
              <w:t>SUBMITTER</w:t>
            </w:r>
          </w:p>
        </w:tc>
        <w:tc>
          <w:tcPr>
            <w:tcW w:w="10350" w:type="dxa"/>
            <w:gridSpan w:val="2"/>
            <w:vAlign w:val="center"/>
          </w:tcPr>
          <w:p w:rsidR="0097680B" w:rsidRPr="001C394F" w:rsidRDefault="002C6F20" w:rsidP="004B7383">
            <w:pPr>
              <w:rPr>
                <w:sz w:val="24"/>
                <w:szCs w:val="24"/>
              </w:rPr>
            </w:pPr>
            <w:r>
              <w:rPr>
                <w:sz w:val="24"/>
                <w:szCs w:val="24"/>
              </w:rPr>
              <w:t>Daniel Gilison</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79256B" w:rsidRPr="000403F6" w:rsidRDefault="0005417A" w:rsidP="0079256B">
      <w:pPr>
        <w:spacing w:after="0" w:line="240" w:lineRule="auto"/>
        <w:rPr>
          <w:b/>
          <w:sz w:val="40"/>
          <w:szCs w:val="40"/>
        </w:rPr>
      </w:pPr>
      <w:r w:rsidRPr="000403F6">
        <w:rPr>
          <w:b/>
          <w:sz w:val="40"/>
          <w:szCs w:val="40"/>
        </w:rPr>
        <w:t xml:space="preserve">I. </w:t>
      </w:r>
      <w:r w:rsidR="0079256B" w:rsidRPr="000403F6">
        <w:rPr>
          <w:b/>
          <w:sz w:val="40"/>
          <w:szCs w:val="40"/>
        </w:rPr>
        <w:t>INSTITUTIONAL GOALS</w:t>
      </w:r>
    </w:p>
    <w:p w:rsidR="00033067" w:rsidRDefault="00033067" w:rsidP="0079256B">
      <w:pPr>
        <w:spacing w:after="0" w:line="240" w:lineRule="auto"/>
        <w:rPr>
          <w:b/>
          <w:sz w:val="24"/>
          <w:szCs w:val="24"/>
        </w:rPr>
      </w:pPr>
    </w:p>
    <w:tbl>
      <w:tblPr>
        <w:tblStyle w:val="TableGrid"/>
        <w:tblW w:w="12960" w:type="dxa"/>
        <w:tblInd w:w="828" w:type="dxa"/>
        <w:tblLook w:val="04A0" w:firstRow="1" w:lastRow="0" w:firstColumn="1" w:lastColumn="0" w:noHBand="0" w:noVBand="1"/>
      </w:tblPr>
      <w:tblGrid>
        <w:gridCol w:w="2621"/>
        <w:gridCol w:w="10339"/>
      </w:tblGrid>
      <w:tr w:rsidR="00033067" w:rsidTr="00D6026F">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1</w:t>
            </w:r>
          </w:p>
        </w:tc>
        <w:tc>
          <w:tcPr>
            <w:tcW w:w="10339" w:type="dxa"/>
            <w:vAlign w:val="center"/>
          </w:tcPr>
          <w:p w:rsidR="00271A0B" w:rsidRDefault="00033067" w:rsidP="00B30971">
            <w:pPr>
              <w:rPr>
                <w:sz w:val="24"/>
                <w:szCs w:val="24"/>
              </w:rPr>
            </w:pPr>
            <w:r w:rsidRPr="00C32B0F">
              <w:rPr>
                <w:b/>
                <w:sz w:val="24"/>
                <w:szCs w:val="24"/>
              </w:rPr>
              <w:t>INSTITUTIONAL MISSION AND EFFECTIVENESS</w:t>
            </w:r>
            <w:r>
              <w:rPr>
                <w:sz w:val="24"/>
                <w:szCs w:val="24"/>
              </w:rPr>
              <w:t xml:space="preserve"> – The </w:t>
            </w:r>
            <w:r w:rsidRPr="001C394F">
              <w:rPr>
                <w:sz w:val="24"/>
                <w:szCs w:val="24"/>
              </w:rPr>
              <w:t>College will maintain programs and services that focus on the mission of the College supported by data-driven assessments to measure student learning and student success</w:t>
            </w:r>
            <w:r>
              <w:rPr>
                <w:sz w:val="24"/>
                <w:szCs w:val="24"/>
              </w:rPr>
              <w:t>.</w:t>
            </w:r>
          </w:p>
          <w:p w:rsidR="00B30971" w:rsidRDefault="00B30971" w:rsidP="00B30971">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2</w:t>
            </w:r>
          </w:p>
        </w:tc>
        <w:tc>
          <w:tcPr>
            <w:tcW w:w="10339" w:type="dxa"/>
            <w:vAlign w:val="center"/>
          </w:tcPr>
          <w:p w:rsidR="00033067" w:rsidRDefault="00033067" w:rsidP="00043E27">
            <w:pPr>
              <w:rPr>
                <w:sz w:val="24"/>
                <w:szCs w:val="24"/>
              </w:rPr>
            </w:pPr>
            <w:r w:rsidRPr="00C32B0F">
              <w:rPr>
                <w:b/>
                <w:sz w:val="24"/>
                <w:szCs w:val="24"/>
              </w:rPr>
              <w:t>STUDENT LEARNING PROGRAMS AND SERVICES</w:t>
            </w:r>
            <w:r>
              <w:rPr>
                <w:sz w:val="24"/>
                <w:szCs w:val="24"/>
              </w:rPr>
              <w:t xml:space="preserve"> – The C</w:t>
            </w:r>
            <w:r w:rsidRPr="001C394F">
              <w:rPr>
                <w:sz w:val="24"/>
                <w:szCs w:val="24"/>
              </w:rPr>
              <w:t>ollege will maintain instructional programs and services which support student success and the attainment of student educational goals.</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3</w:t>
            </w:r>
          </w:p>
        </w:tc>
        <w:tc>
          <w:tcPr>
            <w:tcW w:w="10339" w:type="dxa"/>
            <w:vAlign w:val="center"/>
          </w:tcPr>
          <w:p w:rsidR="00033067" w:rsidRDefault="00033067" w:rsidP="00043E27">
            <w:pPr>
              <w:rPr>
                <w:sz w:val="24"/>
                <w:szCs w:val="24"/>
              </w:rPr>
            </w:pPr>
            <w:r w:rsidRPr="00C32B0F">
              <w:rPr>
                <w:b/>
                <w:sz w:val="24"/>
                <w:szCs w:val="24"/>
              </w:rPr>
              <w:t>RESOURCES</w:t>
            </w:r>
            <w:r>
              <w:rPr>
                <w:sz w:val="24"/>
                <w:szCs w:val="24"/>
              </w:rPr>
              <w:t xml:space="preserve"> – The </w:t>
            </w:r>
            <w:r w:rsidRPr="001C394F">
              <w:rPr>
                <w:sz w:val="24"/>
                <w:szCs w:val="24"/>
              </w:rPr>
              <w:t>College will develop and manage human, technological, physical, and financial resources to effectively support the College mission and the campus learning environment.</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4</w:t>
            </w:r>
          </w:p>
        </w:tc>
        <w:tc>
          <w:tcPr>
            <w:tcW w:w="10339" w:type="dxa"/>
            <w:vAlign w:val="center"/>
          </w:tcPr>
          <w:p w:rsidR="00033067" w:rsidRDefault="00033067" w:rsidP="00043E27">
            <w:pPr>
              <w:rPr>
                <w:sz w:val="24"/>
                <w:szCs w:val="24"/>
              </w:rPr>
            </w:pPr>
            <w:r w:rsidRPr="00C32B0F">
              <w:rPr>
                <w:b/>
                <w:sz w:val="24"/>
                <w:szCs w:val="24"/>
              </w:rPr>
              <w:t>LEADERSHIP AND GOVERNANCE</w:t>
            </w:r>
            <w:r>
              <w:rPr>
                <w:sz w:val="24"/>
                <w:szCs w:val="24"/>
              </w:rPr>
              <w:t xml:space="preserve"> – The </w:t>
            </w:r>
            <w:r w:rsidRPr="001C394F">
              <w:rPr>
                <w:sz w:val="24"/>
                <w:szCs w:val="24"/>
              </w:rPr>
              <w:t>Board of Trustees and the Superintendent/President will establish policies that assure the quality, integrity, and effectiveness of student learning programs and services, and the financial stability of the institution.</w:t>
            </w:r>
          </w:p>
          <w:p w:rsidR="00271A0B" w:rsidRDefault="00271A0B" w:rsidP="00043E27">
            <w:pPr>
              <w:rPr>
                <w:b/>
                <w:sz w:val="24"/>
                <w:szCs w:val="24"/>
              </w:rPr>
            </w:pPr>
          </w:p>
        </w:tc>
      </w:tr>
    </w:tbl>
    <w:p w:rsidR="00987B31" w:rsidRDefault="00987B31"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828" w:type="dxa"/>
        <w:tblLayout w:type="fixed"/>
        <w:tblLook w:val="04A0" w:firstRow="1" w:lastRow="0" w:firstColumn="1" w:lastColumn="0" w:noHBand="0" w:noVBand="1"/>
      </w:tblPr>
      <w:tblGrid>
        <w:gridCol w:w="630"/>
        <w:gridCol w:w="1709"/>
        <w:gridCol w:w="1801"/>
        <w:gridCol w:w="3420"/>
        <w:gridCol w:w="3420"/>
        <w:gridCol w:w="1980"/>
      </w:tblGrid>
      <w:tr w:rsidR="00603C62" w:rsidRPr="00034966" w:rsidTr="00D9584C">
        <w:trPr>
          <w:trHeight w:val="710"/>
        </w:trPr>
        <w:tc>
          <w:tcPr>
            <w:tcW w:w="10980" w:type="dxa"/>
            <w:gridSpan w:val="5"/>
            <w:vAlign w:val="center"/>
          </w:tcPr>
          <w:p w:rsidR="001C4679" w:rsidRDefault="00603C62" w:rsidP="00875F92">
            <w:pPr>
              <w:jc w:val="center"/>
              <w:rPr>
                <w:b/>
                <w:sz w:val="32"/>
                <w:szCs w:val="32"/>
              </w:rPr>
            </w:pPr>
            <w:r w:rsidRPr="00B30971">
              <w:rPr>
                <w:b/>
                <w:sz w:val="32"/>
                <w:szCs w:val="32"/>
              </w:rPr>
              <w:t>PAST PROGRAM GOALS</w:t>
            </w:r>
          </w:p>
          <w:p w:rsidR="00603C62" w:rsidRPr="00B30971" w:rsidRDefault="001C4679" w:rsidP="00875F92">
            <w:pPr>
              <w:jc w:val="center"/>
              <w:rPr>
                <w:b/>
                <w:sz w:val="32"/>
                <w:szCs w:val="32"/>
              </w:rPr>
            </w:pPr>
            <w:r w:rsidRPr="00BF037A">
              <w:rPr>
                <w:sz w:val="18"/>
                <w:szCs w:val="18"/>
              </w:rPr>
              <w:t xml:space="preserve">(Describe </w:t>
            </w:r>
            <w:r>
              <w:rPr>
                <w:sz w:val="18"/>
                <w:szCs w:val="18"/>
              </w:rPr>
              <w:t>past</w:t>
            </w:r>
            <w:r w:rsidRPr="00BF037A">
              <w:rPr>
                <w:sz w:val="18"/>
                <w:szCs w:val="18"/>
              </w:rPr>
              <w:t xml:space="preserve"> program goals</w:t>
            </w:r>
            <w:r>
              <w:rPr>
                <w:sz w:val="18"/>
                <w:szCs w:val="18"/>
              </w:rPr>
              <w:t>.)</w:t>
            </w:r>
          </w:p>
        </w:tc>
        <w:tc>
          <w:tcPr>
            <w:tcW w:w="1980" w:type="dxa"/>
            <w:vAlign w:val="center"/>
          </w:tcPr>
          <w:p w:rsidR="00603C62" w:rsidRPr="005707F9" w:rsidRDefault="00603C62" w:rsidP="000C3BC9">
            <w:pPr>
              <w:jc w:val="center"/>
              <w:rPr>
                <w:b/>
                <w:sz w:val="24"/>
                <w:szCs w:val="24"/>
              </w:rPr>
            </w:pPr>
            <w:r w:rsidRPr="005707F9">
              <w:rPr>
                <w:b/>
                <w:sz w:val="24"/>
                <w:szCs w:val="24"/>
              </w:rPr>
              <w:t>INSTITUTIONAL</w:t>
            </w:r>
          </w:p>
          <w:p w:rsidR="001C4679" w:rsidRDefault="00603C62" w:rsidP="000C3BC9">
            <w:pPr>
              <w:jc w:val="center"/>
              <w:rPr>
                <w:sz w:val="18"/>
                <w:szCs w:val="20"/>
              </w:rPr>
            </w:pPr>
            <w:r w:rsidRPr="005707F9">
              <w:rPr>
                <w:b/>
                <w:sz w:val="24"/>
                <w:szCs w:val="24"/>
              </w:rPr>
              <w:t>GOAL(S)</w:t>
            </w:r>
            <w:r w:rsidR="001C4679" w:rsidRPr="00D6026F">
              <w:rPr>
                <w:sz w:val="18"/>
                <w:szCs w:val="20"/>
              </w:rPr>
              <w:t xml:space="preserve"> </w:t>
            </w:r>
          </w:p>
          <w:p w:rsidR="00603C62" w:rsidRPr="005707F9" w:rsidRDefault="001C4679" w:rsidP="000C3BC9">
            <w:pPr>
              <w:jc w:val="center"/>
              <w:rPr>
                <w:sz w:val="24"/>
                <w:szCs w:val="24"/>
              </w:rPr>
            </w:pPr>
            <w:r w:rsidRPr="00D6026F">
              <w:rPr>
                <w:sz w:val="18"/>
                <w:szCs w:val="20"/>
              </w:rPr>
              <w:t>(</w:t>
            </w:r>
            <w:r>
              <w:rPr>
                <w:sz w:val="18"/>
                <w:szCs w:val="20"/>
              </w:rPr>
              <w:t>Check all that apply.</w:t>
            </w:r>
            <w:r w:rsidRPr="00D6026F">
              <w:rPr>
                <w:sz w:val="18"/>
                <w:szCs w:val="20"/>
              </w:rPr>
              <w:t>)</w:t>
            </w:r>
          </w:p>
        </w:tc>
      </w:tr>
      <w:tr w:rsidR="00D001FF" w:rsidRPr="00D001FF" w:rsidTr="00D9584C">
        <w:trPr>
          <w:trHeight w:val="359"/>
        </w:trPr>
        <w:tc>
          <w:tcPr>
            <w:tcW w:w="2339" w:type="dxa"/>
            <w:gridSpan w:val="2"/>
            <w:tcBorders>
              <w:top w:val="single" w:sz="4" w:space="0" w:color="auto"/>
              <w:left w:val="nil"/>
              <w:right w:val="nil"/>
            </w:tcBorders>
            <w:vAlign w:val="center"/>
          </w:tcPr>
          <w:p w:rsidR="00D001FF" w:rsidRPr="00D001FF" w:rsidRDefault="00D001FF" w:rsidP="000C3BC9">
            <w:pPr>
              <w:jc w:val="center"/>
              <w:rPr>
                <w:b/>
                <w:sz w:val="24"/>
                <w:szCs w:val="24"/>
              </w:rPr>
            </w:pPr>
          </w:p>
        </w:tc>
        <w:tc>
          <w:tcPr>
            <w:tcW w:w="8641" w:type="dxa"/>
            <w:gridSpan w:val="3"/>
            <w:tcBorders>
              <w:top w:val="single" w:sz="4" w:space="0" w:color="auto"/>
              <w:left w:val="nil"/>
              <w:right w:val="nil"/>
            </w:tcBorders>
          </w:tcPr>
          <w:p w:rsidR="00D001FF" w:rsidRPr="00D001FF" w:rsidRDefault="00D001FF" w:rsidP="000C3BC9">
            <w:pPr>
              <w:rPr>
                <w:b/>
                <w:sz w:val="24"/>
                <w:szCs w:val="24"/>
              </w:rPr>
            </w:pPr>
          </w:p>
        </w:tc>
        <w:tc>
          <w:tcPr>
            <w:tcW w:w="1980" w:type="dxa"/>
            <w:tcBorders>
              <w:top w:val="single" w:sz="4" w:space="0" w:color="auto"/>
              <w:left w:val="nil"/>
              <w:right w:val="nil"/>
            </w:tcBorders>
          </w:tcPr>
          <w:p w:rsidR="00D001FF" w:rsidRPr="00D001FF" w:rsidRDefault="00D001FF" w:rsidP="00D001FF">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0C3BC9">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 xml:space="preserve">Identify Program Goal from Last Program Review: </w:t>
            </w:r>
            <w:r w:rsidR="005C00F3">
              <w:rPr>
                <w:sz w:val="24"/>
                <w:szCs w:val="24"/>
              </w:rPr>
              <w:t>Purchase Physics equipment to keep up with current technologies in this field.  The goal is to purchase equipment gradually in such a way as not to produce a big impact in the division’s budget over the next three years.  Accomplishment of this goal will be by comparing inventories.</w:t>
            </w:r>
          </w:p>
          <w:p w:rsidR="005B59C1" w:rsidRPr="005707F9" w:rsidRDefault="005B59C1" w:rsidP="000C3BC9">
            <w:pPr>
              <w:rPr>
                <w:sz w:val="24"/>
                <w:szCs w:val="24"/>
              </w:rPr>
            </w:pPr>
          </w:p>
        </w:tc>
        <w:tc>
          <w:tcPr>
            <w:tcW w:w="1980" w:type="dxa"/>
            <w:vMerge w:val="restart"/>
            <w:tcBorders>
              <w:top w:val="single" w:sz="4" w:space="0" w:color="auto"/>
              <w:left w:val="single" w:sz="4" w:space="0" w:color="auto"/>
              <w:right w:val="single" w:sz="4" w:space="0" w:color="auto"/>
            </w:tcBorders>
          </w:tcPr>
          <w:p w:rsidR="005B59C1" w:rsidRPr="003B17D4" w:rsidRDefault="005B59C1"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5B59C1" w:rsidRPr="003B17D4" w:rsidRDefault="005B59C1"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5B59C1" w:rsidRPr="003B17D4" w:rsidRDefault="005C00F3"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3</w:t>
            </w:r>
          </w:p>
          <w:p w:rsidR="005B59C1" w:rsidRPr="004519FF" w:rsidRDefault="005B59C1" w:rsidP="00D001FF">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0C3BC9">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5C00F3" w:rsidP="000C3BC9">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0C3BC9">
            <w:pPr>
              <w:rPr>
                <w:sz w:val="24"/>
                <w:szCs w:val="24"/>
              </w:rPr>
            </w:pPr>
          </w:p>
        </w:tc>
        <w:tc>
          <w:tcPr>
            <w:tcW w:w="1980" w:type="dxa"/>
            <w:vMerge/>
            <w:tcBorders>
              <w:left w:val="single" w:sz="4" w:space="0" w:color="auto"/>
              <w:right w:val="single" w:sz="4" w:space="0" w:color="auto"/>
            </w:tcBorders>
          </w:tcPr>
          <w:p w:rsidR="005B59C1" w:rsidRDefault="005B59C1" w:rsidP="00D001FF">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0C3BC9">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5C00F3">
              <w:rPr>
                <w:sz w:val="24"/>
                <w:szCs w:val="24"/>
              </w:rPr>
              <w:t>While some purchases have been made, more equipment is needed, and the need to replace/repair equipment is on the rise as other non-science classes are being taught in the Physics dry labs (students in other classes are touching models/equipment and breaking them).</w:t>
            </w:r>
          </w:p>
        </w:tc>
        <w:tc>
          <w:tcPr>
            <w:tcW w:w="1980" w:type="dxa"/>
            <w:vMerge/>
            <w:tcBorders>
              <w:left w:val="single" w:sz="4" w:space="0" w:color="auto"/>
              <w:bottom w:val="single" w:sz="4" w:space="0" w:color="auto"/>
              <w:right w:val="single" w:sz="4" w:space="0" w:color="auto"/>
            </w:tcBorders>
          </w:tcPr>
          <w:p w:rsidR="005B59C1" w:rsidRDefault="005B59C1" w:rsidP="00D001FF">
            <w:pPr>
              <w:jc w:val="center"/>
              <w:rPr>
                <w:sz w:val="24"/>
                <w:szCs w:val="24"/>
              </w:rPr>
            </w:pPr>
          </w:p>
        </w:tc>
      </w:tr>
      <w:tr w:rsidR="00D001FF" w:rsidRPr="00D001FF" w:rsidTr="00085642">
        <w:trPr>
          <w:trHeight w:val="386"/>
        </w:trPr>
        <w:tc>
          <w:tcPr>
            <w:tcW w:w="630" w:type="dxa"/>
            <w:tcBorders>
              <w:top w:val="single" w:sz="4" w:space="0" w:color="auto"/>
              <w:left w:val="nil"/>
              <w:bottom w:val="nil"/>
              <w:right w:val="nil"/>
            </w:tcBorders>
            <w:vAlign w:val="center"/>
          </w:tcPr>
          <w:p w:rsidR="00D001FF" w:rsidRPr="00D001FF" w:rsidRDefault="00D001FF" w:rsidP="000C3BC9">
            <w:pPr>
              <w:jc w:val="center"/>
              <w:rPr>
                <w:b/>
                <w:sz w:val="24"/>
                <w:szCs w:val="24"/>
              </w:rPr>
            </w:pPr>
          </w:p>
        </w:tc>
        <w:tc>
          <w:tcPr>
            <w:tcW w:w="10350" w:type="dxa"/>
            <w:gridSpan w:val="4"/>
            <w:tcBorders>
              <w:top w:val="single" w:sz="4" w:space="0" w:color="auto"/>
              <w:left w:val="nil"/>
              <w:bottom w:val="nil"/>
              <w:right w:val="nil"/>
            </w:tcBorders>
          </w:tcPr>
          <w:p w:rsidR="00D001FF" w:rsidRPr="00D001FF" w:rsidRDefault="00D001FF" w:rsidP="000C3BC9">
            <w:pPr>
              <w:rPr>
                <w:b/>
                <w:sz w:val="24"/>
                <w:szCs w:val="24"/>
              </w:rPr>
            </w:pPr>
          </w:p>
        </w:tc>
        <w:tc>
          <w:tcPr>
            <w:tcW w:w="1980" w:type="dxa"/>
            <w:tcBorders>
              <w:top w:val="single" w:sz="4" w:space="0" w:color="auto"/>
              <w:left w:val="nil"/>
              <w:bottom w:val="nil"/>
              <w:right w:val="nil"/>
            </w:tcBorders>
          </w:tcPr>
          <w:p w:rsidR="00D001FF" w:rsidRPr="00D001FF" w:rsidRDefault="00D001FF" w:rsidP="00D001FF">
            <w:pPr>
              <w:jc w:val="center"/>
              <w:rPr>
                <w:sz w:val="24"/>
                <w:szCs w:val="24"/>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3510"/>
        <w:gridCol w:w="3420"/>
        <w:gridCol w:w="3420"/>
        <w:gridCol w:w="1980"/>
      </w:tblGrid>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lastRenderedPageBreak/>
              <w:t>2</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#2</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005C00F3">
              <w:rPr>
                <w:sz w:val="24"/>
                <w:szCs w:val="24"/>
              </w:rPr>
              <w:t>Education of K-12 students and instructors via hiring of a new chemistry instructor and grant opportunities.</w:t>
            </w:r>
          </w:p>
        </w:tc>
        <w:tc>
          <w:tcPr>
            <w:tcW w:w="198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5C00F3"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C00F3"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5C00F3">
              <w:rPr>
                <w:sz w:val="24"/>
                <w:szCs w:val="24"/>
              </w:rPr>
              <w:t>A new chemistry instructor has been recently hired, but no outreach to K-12 has yet been done.</w:t>
            </w: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r w:rsidR="005B59C1" w:rsidRPr="00D001FF" w:rsidTr="00D84502">
        <w:trPr>
          <w:trHeight w:val="386"/>
        </w:trPr>
        <w:tc>
          <w:tcPr>
            <w:tcW w:w="630" w:type="dxa"/>
            <w:tcBorders>
              <w:top w:val="single" w:sz="4" w:space="0" w:color="auto"/>
              <w:left w:val="nil"/>
              <w:right w:val="nil"/>
            </w:tcBorders>
            <w:vAlign w:val="center"/>
          </w:tcPr>
          <w:p w:rsidR="005B59C1" w:rsidRPr="00D001FF" w:rsidRDefault="005B59C1" w:rsidP="004A2B92">
            <w:pPr>
              <w:jc w:val="center"/>
              <w:rPr>
                <w:b/>
                <w:sz w:val="24"/>
                <w:szCs w:val="24"/>
              </w:rPr>
            </w:pPr>
          </w:p>
        </w:tc>
        <w:tc>
          <w:tcPr>
            <w:tcW w:w="10350" w:type="dxa"/>
            <w:gridSpan w:val="3"/>
            <w:tcBorders>
              <w:top w:val="single" w:sz="4" w:space="0" w:color="auto"/>
              <w:left w:val="nil"/>
              <w:bottom w:val="single" w:sz="4" w:space="0" w:color="auto"/>
              <w:right w:val="nil"/>
            </w:tcBorders>
          </w:tcPr>
          <w:p w:rsidR="005B59C1" w:rsidRPr="00D001FF" w:rsidRDefault="005B59C1" w:rsidP="004A2B92">
            <w:pPr>
              <w:rPr>
                <w:b/>
                <w:sz w:val="24"/>
                <w:szCs w:val="24"/>
              </w:rPr>
            </w:pPr>
          </w:p>
        </w:tc>
        <w:tc>
          <w:tcPr>
            <w:tcW w:w="1980" w:type="dxa"/>
            <w:tcBorders>
              <w:top w:val="single" w:sz="4" w:space="0" w:color="auto"/>
              <w:left w:val="nil"/>
              <w:right w:val="nil"/>
            </w:tcBorders>
          </w:tcPr>
          <w:p w:rsidR="005B59C1" w:rsidRPr="00D001FF" w:rsidRDefault="005B59C1" w:rsidP="004A2B92">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t>3</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#3</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005C00F3">
              <w:rPr>
                <w:sz w:val="24"/>
                <w:szCs w:val="24"/>
              </w:rPr>
              <w:t xml:space="preserve">The development of a laboratory component to PHSC 110. </w:t>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5C00F3"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C00F3"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5C00F3">
              <w:rPr>
                <w:sz w:val="24"/>
                <w:szCs w:val="24"/>
              </w:rPr>
              <w:t>Faculty who teach PHSC 110 should continue to discuss this to determine if the course needs a laboratory component, and if so, what is the best way to go about implementing it.</w:t>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bl>
    <w:p w:rsidR="00603C62" w:rsidRDefault="00603C62" w:rsidP="00603C62">
      <w:pPr>
        <w:spacing w:after="0" w:line="240" w:lineRule="auto"/>
        <w:ind w:firstLine="720"/>
        <w:rPr>
          <w:sz w:val="24"/>
          <w:szCs w:val="24"/>
        </w:rPr>
      </w:pPr>
    </w:p>
    <w:p w:rsidR="0023193A" w:rsidRDefault="00603C62" w:rsidP="0023193A">
      <w:pPr>
        <w:spacing w:after="0" w:line="240" w:lineRule="auto"/>
        <w:ind w:firstLine="720"/>
        <w:rPr>
          <w:sz w:val="24"/>
          <w:szCs w:val="24"/>
        </w:rPr>
      </w:pPr>
      <w:r w:rsidRPr="001C394F">
        <w:rPr>
          <w:sz w:val="24"/>
          <w:szCs w:val="24"/>
        </w:rPr>
        <w:t xml:space="preserve">Comments: </w:t>
      </w:r>
      <w:r w:rsidRPr="00D140DE">
        <w:rPr>
          <w:sz w:val="24"/>
          <w:szCs w:val="24"/>
        </w:rPr>
        <w:fldChar w:fldCharType="begin">
          <w:ffData>
            <w:name w:val="Text3"/>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r w:rsidR="0023193A">
        <w:rPr>
          <w:sz w:val="24"/>
          <w:szCs w:val="24"/>
        </w:rPr>
        <w:br w:type="page"/>
      </w: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lastRenderedPageBreak/>
        <w:t>PRESENT – DATA ANALYSIS AND PROGRAM HEALTH</w:t>
      </w:r>
    </w:p>
    <w:p w:rsidR="001C31AE" w:rsidRPr="001C394F" w:rsidRDefault="001C31AE" w:rsidP="001C31AE">
      <w:pPr>
        <w:spacing w:after="0" w:line="240" w:lineRule="auto"/>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 xml:space="preserve">and distance education </w:t>
      </w:r>
      <w:r w:rsidRPr="00271A0B">
        <w:rPr>
          <w:sz w:val="24"/>
          <w:szCs w:val="24"/>
        </w:rPr>
        <w:t>regarding enrollments, fill rates, productivity, completion, success, retention, persistence, and transfer</w:t>
      </w:r>
      <w:r w:rsidR="00597F48">
        <w:rPr>
          <w:sz w:val="24"/>
          <w:szCs w:val="24"/>
        </w:rPr>
        <w:t xml:space="preserve"> (</w:t>
      </w:r>
      <w:r w:rsidR="001C4679">
        <w:rPr>
          <w:sz w:val="24"/>
          <w:szCs w:val="24"/>
        </w:rPr>
        <w:t>c</w:t>
      </w:r>
      <w:r w:rsidR="00597F48">
        <w:rPr>
          <w:sz w:val="24"/>
          <w:szCs w:val="24"/>
        </w:rPr>
        <w:t>omplete</w:t>
      </w:r>
      <w:r w:rsidR="00AD4987">
        <w:rPr>
          <w:sz w:val="24"/>
          <w:szCs w:val="24"/>
        </w:rPr>
        <w:t xml:space="preserve"> a, b, &amp; c)</w:t>
      </w:r>
      <w:r w:rsidRPr="00271A0B">
        <w:rPr>
          <w:sz w:val="24"/>
          <w:szCs w:val="24"/>
        </w:rPr>
        <w:t>.</w:t>
      </w:r>
      <w:r w:rsidR="00AD4987">
        <w:rPr>
          <w:sz w:val="24"/>
          <w:szCs w:val="24"/>
        </w:rPr>
        <w:t xml:space="preserve"> </w:t>
      </w:r>
      <w:r w:rsidR="00AD4987" w:rsidRPr="00AD4987">
        <w:rPr>
          <w:b/>
          <w:i/>
          <w:sz w:val="24"/>
          <w:szCs w:val="24"/>
        </w:rPr>
        <w:t>Attach graphs or trend data</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5E6467" w:rsidRPr="00555678" w:rsidRDefault="00555678" w:rsidP="005E6467">
      <w:pPr>
        <w:pStyle w:val="ListParagraph"/>
        <w:numPr>
          <w:ilvl w:val="0"/>
          <w:numId w:val="8"/>
        </w:numPr>
        <w:spacing w:after="0" w:line="240" w:lineRule="auto"/>
        <w:rPr>
          <w:sz w:val="24"/>
          <w:szCs w:val="24"/>
        </w:rPr>
      </w:pPr>
      <w:r w:rsidRPr="00555678">
        <w:rPr>
          <w:sz w:val="24"/>
          <w:szCs w:val="24"/>
        </w:rPr>
        <w:t>Discuss and chart the trends in enrollment and fill rate for each program by day and evening at the program level</w:t>
      </w:r>
      <w:r>
        <w:rPr>
          <w:sz w:val="24"/>
          <w:szCs w:val="24"/>
        </w:rPr>
        <w:t>.</w:t>
      </w:r>
    </w:p>
    <w:p w:rsidR="0023193A" w:rsidRDefault="0023193A" w:rsidP="00110022">
      <w:pPr>
        <w:pStyle w:val="ListParagraph"/>
        <w:spacing w:after="0" w:line="240" w:lineRule="auto"/>
        <w:ind w:left="1800"/>
        <w:rPr>
          <w:sz w:val="24"/>
          <w:szCs w:val="24"/>
        </w:rPr>
      </w:pPr>
    </w:p>
    <w:p w:rsidR="00110022" w:rsidRDefault="00F65A01" w:rsidP="00110022">
      <w:pPr>
        <w:pStyle w:val="ListParagraph"/>
        <w:spacing w:after="0" w:line="240" w:lineRule="auto"/>
        <w:ind w:left="1800"/>
        <w:rPr>
          <w:sz w:val="24"/>
          <w:szCs w:val="24"/>
        </w:rPr>
      </w:pPr>
      <w:r>
        <w:rPr>
          <w:noProof/>
        </w:rPr>
        <w:drawing>
          <wp:inline distT="0" distB="0" distL="0" distR="0" wp14:anchorId="6FA42496" wp14:editId="6A50DA3A">
            <wp:extent cx="3383280" cy="2743200"/>
            <wp:effectExtent l="0" t="0" r="2667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597A61">
        <w:rPr>
          <w:noProof/>
        </w:rPr>
        <w:drawing>
          <wp:inline distT="0" distB="0" distL="0" distR="0" wp14:anchorId="5B513FFA" wp14:editId="57103622">
            <wp:extent cx="3383280" cy="2743200"/>
            <wp:effectExtent l="0" t="0" r="2667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65A01" w:rsidRPr="00597A61" w:rsidRDefault="00F65A01" w:rsidP="00597A61">
      <w:pPr>
        <w:spacing w:after="0" w:line="240" w:lineRule="auto"/>
        <w:rPr>
          <w:sz w:val="24"/>
          <w:szCs w:val="24"/>
        </w:rPr>
      </w:pPr>
    </w:p>
    <w:p w:rsidR="00F65A01" w:rsidRDefault="00F65A01" w:rsidP="00110022">
      <w:pPr>
        <w:pStyle w:val="ListParagraph"/>
        <w:spacing w:after="0" w:line="240" w:lineRule="auto"/>
        <w:ind w:left="1800"/>
        <w:rPr>
          <w:sz w:val="24"/>
          <w:szCs w:val="24"/>
        </w:rPr>
      </w:pPr>
      <w:r>
        <w:rPr>
          <w:sz w:val="24"/>
          <w:szCs w:val="24"/>
        </w:rPr>
        <w:t>Most classes in the Physical Science program have high fill rates (80%+).  CHEM 202 has had lower fill rates due to the lack of CHEM 100 and CHEM 200 sections, and the loss of a Chemistry part-time faculty member.  As I do not have the data for all courses in the Physical Science program, I cannot discuss the program as a whole, just the individual courses where I could examine day vs. night enrollment and fill rates.</w:t>
      </w:r>
    </w:p>
    <w:p w:rsidR="00110022" w:rsidRDefault="00110022"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 xml:space="preserve">What are the trends in productivity?  (WSCH/FTEF)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w:t>
      </w:r>
      <w:r w:rsidRPr="00555678">
        <w:rPr>
          <w:sz w:val="24"/>
        </w:rPr>
        <w:lastRenderedPageBreak/>
        <w:t>a productivity number close to or above 525.</w:t>
      </w:r>
    </w:p>
    <w:p w:rsidR="0023193A" w:rsidRDefault="0023193A" w:rsidP="00110022">
      <w:pPr>
        <w:pStyle w:val="ListParagraph"/>
        <w:spacing w:after="0" w:line="240" w:lineRule="auto"/>
        <w:ind w:left="1800"/>
        <w:rPr>
          <w:sz w:val="24"/>
          <w:szCs w:val="24"/>
        </w:rPr>
      </w:pPr>
    </w:p>
    <w:p w:rsidR="00110022" w:rsidRDefault="00D25935" w:rsidP="00597A61">
      <w:pPr>
        <w:pStyle w:val="ListParagraph"/>
        <w:spacing w:after="0" w:line="240" w:lineRule="auto"/>
        <w:ind w:left="1800"/>
        <w:jc w:val="center"/>
        <w:rPr>
          <w:sz w:val="24"/>
          <w:szCs w:val="24"/>
        </w:rPr>
      </w:pPr>
      <w:r>
        <w:rPr>
          <w:noProof/>
        </w:rPr>
        <w:drawing>
          <wp:inline distT="0" distB="0" distL="0" distR="0" wp14:anchorId="150AD384" wp14:editId="3827EAFF">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25935" w:rsidRDefault="00D25935" w:rsidP="00110022">
      <w:pPr>
        <w:pStyle w:val="ListParagraph"/>
        <w:spacing w:after="0" w:line="240" w:lineRule="auto"/>
        <w:ind w:left="1800"/>
        <w:rPr>
          <w:sz w:val="24"/>
          <w:szCs w:val="24"/>
        </w:rPr>
      </w:pPr>
    </w:p>
    <w:p w:rsidR="00D25935" w:rsidRDefault="00D25935" w:rsidP="00110022">
      <w:pPr>
        <w:pStyle w:val="ListParagraph"/>
        <w:spacing w:after="0" w:line="240" w:lineRule="auto"/>
        <w:ind w:left="1800"/>
        <w:rPr>
          <w:sz w:val="24"/>
          <w:szCs w:val="24"/>
        </w:rPr>
      </w:pPr>
      <w:r>
        <w:rPr>
          <w:sz w:val="24"/>
          <w:szCs w:val="24"/>
        </w:rPr>
        <w:t>The average WSCH/FTEF for PHSC 110 and ASTR 100 is 506 and 547, respectively.  Even though WSCH/FTEF has declined in the Spring 2013 semester, these are both very productive classes.</w:t>
      </w:r>
    </w:p>
    <w:p w:rsidR="00110022" w:rsidRPr="00110022" w:rsidRDefault="00110022"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 xml:space="preserve">Discuss and chart the success and retention rates by day, evening (extended day), and online classes in each program and identify gaps. </w:t>
      </w:r>
    </w:p>
    <w:p w:rsidR="0023193A" w:rsidRDefault="0023193A" w:rsidP="00110022">
      <w:pPr>
        <w:pStyle w:val="ListParagraph"/>
        <w:spacing w:after="0" w:line="240" w:lineRule="auto"/>
        <w:ind w:left="1800"/>
        <w:rPr>
          <w:sz w:val="24"/>
          <w:szCs w:val="24"/>
        </w:rPr>
      </w:pPr>
    </w:p>
    <w:p w:rsidR="00BB3035" w:rsidRDefault="00BB3035" w:rsidP="0023193A">
      <w:pPr>
        <w:pStyle w:val="ListParagraph"/>
        <w:spacing w:after="0" w:line="240" w:lineRule="auto"/>
        <w:ind w:left="1800"/>
        <w:rPr>
          <w:sz w:val="24"/>
          <w:szCs w:val="24"/>
        </w:rPr>
      </w:pPr>
      <w:r>
        <w:rPr>
          <w:noProof/>
        </w:rPr>
        <w:lastRenderedPageBreak/>
        <w:drawing>
          <wp:inline distT="0" distB="0" distL="0" distR="0" wp14:anchorId="0EDF6F96" wp14:editId="23F4312A">
            <wp:extent cx="3474720" cy="2743200"/>
            <wp:effectExtent l="0" t="0" r="1143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597A61">
        <w:rPr>
          <w:sz w:val="24"/>
          <w:szCs w:val="24"/>
        </w:rPr>
        <w:t xml:space="preserve">  </w:t>
      </w:r>
      <w:r>
        <w:rPr>
          <w:noProof/>
        </w:rPr>
        <w:drawing>
          <wp:inline distT="0" distB="0" distL="0" distR="0" wp14:anchorId="4BD4C784" wp14:editId="66884932">
            <wp:extent cx="3474720" cy="2743200"/>
            <wp:effectExtent l="0" t="0" r="1143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B3035" w:rsidRDefault="00BB3035" w:rsidP="0023193A">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Discuss and chart the success and retention rates in each program and identify gaps for five ethnic groups. (African-American, White, all Hispanics, Other, Unknown).</w:t>
      </w:r>
    </w:p>
    <w:p w:rsidR="00555678" w:rsidRDefault="00555678" w:rsidP="00555678">
      <w:pPr>
        <w:pStyle w:val="ListParagraph"/>
        <w:spacing w:after="0" w:line="240" w:lineRule="auto"/>
        <w:ind w:left="1800"/>
        <w:rPr>
          <w:sz w:val="24"/>
          <w:szCs w:val="24"/>
        </w:rPr>
      </w:pPr>
    </w:p>
    <w:p w:rsidR="00555678" w:rsidRDefault="00373A2D" w:rsidP="00555678">
      <w:pPr>
        <w:pStyle w:val="ListParagraph"/>
        <w:spacing w:after="0" w:line="240" w:lineRule="auto"/>
        <w:ind w:left="1800"/>
        <w:rPr>
          <w:sz w:val="24"/>
          <w:szCs w:val="24"/>
        </w:rPr>
      </w:pPr>
      <w:r>
        <w:rPr>
          <w:noProof/>
        </w:rPr>
        <w:drawing>
          <wp:inline distT="0" distB="0" distL="0" distR="0" wp14:anchorId="0743BBA1" wp14:editId="2A188448">
            <wp:extent cx="3383280" cy="2181225"/>
            <wp:effectExtent l="0" t="0" r="2667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597A61">
        <w:rPr>
          <w:sz w:val="24"/>
          <w:szCs w:val="24"/>
        </w:rPr>
        <w:t xml:space="preserve">  </w:t>
      </w:r>
      <w:r w:rsidR="00597A61">
        <w:rPr>
          <w:noProof/>
        </w:rPr>
        <w:drawing>
          <wp:inline distT="0" distB="0" distL="0" distR="0" wp14:anchorId="7AC7191E" wp14:editId="431B8D95">
            <wp:extent cx="3381375" cy="218122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73A2D" w:rsidRDefault="00373A2D" w:rsidP="00555678">
      <w:pPr>
        <w:pStyle w:val="ListParagraph"/>
        <w:spacing w:after="0" w:line="240" w:lineRule="auto"/>
        <w:ind w:left="1800"/>
        <w:rPr>
          <w:sz w:val="24"/>
          <w:szCs w:val="24"/>
        </w:rPr>
      </w:pPr>
    </w:p>
    <w:p w:rsidR="00373A2D" w:rsidRDefault="00373A2D" w:rsidP="00555678">
      <w:pPr>
        <w:pStyle w:val="ListParagraph"/>
        <w:spacing w:after="0" w:line="240" w:lineRule="auto"/>
        <w:ind w:left="1800"/>
        <w:rPr>
          <w:sz w:val="24"/>
          <w:szCs w:val="24"/>
        </w:rPr>
      </w:pPr>
      <w:r>
        <w:rPr>
          <w:sz w:val="24"/>
          <w:szCs w:val="24"/>
        </w:rPr>
        <w:lastRenderedPageBreak/>
        <w:t>For the Physical Science course, PHSC 110, success and retention was fairly similar for all ethnic groups, with retention being higher in the Hispanic group.  There was only 1 African-American student who did not remain in the class, and there were no students who fell in the “Other” category.</w:t>
      </w:r>
    </w:p>
    <w:p w:rsidR="00373A2D" w:rsidRDefault="00373A2D" w:rsidP="00555678">
      <w:pPr>
        <w:pStyle w:val="ListParagraph"/>
        <w:spacing w:after="0" w:line="240" w:lineRule="auto"/>
        <w:ind w:left="1800"/>
        <w:rPr>
          <w:sz w:val="24"/>
          <w:szCs w:val="24"/>
        </w:rPr>
      </w:pPr>
    </w:p>
    <w:p w:rsidR="00373A2D" w:rsidRDefault="00373A2D" w:rsidP="00555678">
      <w:pPr>
        <w:pStyle w:val="ListParagraph"/>
        <w:spacing w:after="0" w:line="240" w:lineRule="auto"/>
        <w:ind w:left="1800"/>
        <w:rPr>
          <w:sz w:val="24"/>
          <w:szCs w:val="24"/>
        </w:rPr>
      </w:pPr>
      <w:r>
        <w:rPr>
          <w:sz w:val="24"/>
          <w:szCs w:val="24"/>
        </w:rPr>
        <w:t xml:space="preserve">For the Astronomy course, ASTR 100, </w:t>
      </w:r>
      <w:r w:rsidR="00E8336B">
        <w:rPr>
          <w:sz w:val="24"/>
          <w:szCs w:val="24"/>
        </w:rPr>
        <w:t>success rates ranged from 26-41% in the White, Hispanic, and Unknown groups.  There was only one African-American student, and 2 students who were identified as “Other,” so the data for those groups is not statistically relevant.  Retention rates were relatively equal across the ethnic groups.</w:t>
      </w:r>
    </w:p>
    <w:p w:rsidR="00555678" w:rsidRDefault="00555678" w:rsidP="00555678">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Discuss the trends in the number of degrees or certificates awarded, if applicable.  (You may be able to expand more about this in B.3 below.)</w:t>
      </w:r>
    </w:p>
    <w:p w:rsidR="00555678" w:rsidRDefault="00555678" w:rsidP="00555678">
      <w:pPr>
        <w:pStyle w:val="ListParagraph"/>
        <w:spacing w:after="0" w:line="240" w:lineRule="auto"/>
        <w:ind w:left="1800"/>
        <w:rPr>
          <w:sz w:val="24"/>
          <w:szCs w:val="24"/>
        </w:rPr>
      </w:pPr>
    </w:p>
    <w:p w:rsidR="00555678" w:rsidRDefault="00E8336B" w:rsidP="00555678">
      <w:pPr>
        <w:pStyle w:val="ListParagraph"/>
        <w:spacing w:after="0" w:line="240" w:lineRule="auto"/>
        <w:ind w:left="1800"/>
        <w:rPr>
          <w:sz w:val="24"/>
          <w:szCs w:val="24"/>
        </w:rPr>
      </w:pPr>
      <w:r>
        <w:rPr>
          <w:sz w:val="24"/>
          <w:szCs w:val="24"/>
        </w:rPr>
        <w:t>In the past 3 years, 5 students have been awarded degrees in Physical Science.  There is no certificate for this major.</w:t>
      </w:r>
    </w:p>
    <w:p w:rsidR="00555678" w:rsidRDefault="00555678" w:rsidP="00555678">
      <w:pPr>
        <w:pStyle w:val="ListParagraph"/>
        <w:spacing w:after="0" w:line="240" w:lineRule="auto"/>
        <w:ind w:left="1800"/>
        <w:rPr>
          <w:sz w:val="24"/>
          <w:szCs w:val="24"/>
        </w:rPr>
      </w:pPr>
    </w:p>
    <w:p w:rsidR="00555678" w:rsidRPr="006854CC" w:rsidRDefault="006854CC" w:rsidP="00555678">
      <w:pPr>
        <w:pStyle w:val="ListParagraph"/>
        <w:numPr>
          <w:ilvl w:val="0"/>
          <w:numId w:val="8"/>
        </w:numPr>
        <w:rPr>
          <w:sz w:val="28"/>
        </w:rPr>
      </w:pPr>
      <w:r w:rsidRPr="006854CC">
        <w:rPr>
          <w:sz w:val="24"/>
        </w:rPr>
        <w:t>What program changes, if any, will you recommend that you expect would have a positive effect on your students</w:t>
      </w:r>
      <w:r>
        <w:rPr>
          <w:sz w:val="24"/>
        </w:rPr>
        <w:t xml:space="preserve"> in your program, if applicable?</w:t>
      </w:r>
    </w:p>
    <w:p w:rsidR="00555678" w:rsidRDefault="00555678" w:rsidP="00555678">
      <w:pPr>
        <w:pStyle w:val="ListParagraph"/>
        <w:spacing w:after="0" w:line="240" w:lineRule="auto"/>
        <w:ind w:left="1800"/>
        <w:rPr>
          <w:sz w:val="24"/>
          <w:szCs w:val="24"/>
        </w:rPr>
      </w:pPr>
    </w:p>
    <w:p w:rsidR="00555678" w:rsidRDefault="0067490F" w:rsidP="00555678">
      <w:pPr>
        <w:pStyle w:val="ListParagraph"/>
        <w:spacing w:after="0" w:line="240" w:lineRule="auto"/>
        <w:ind w:left="1800"/>
        <w:rPr>
          <w:sz w:val="24"/>
          <w:szCs w:val="24"/>
        </w:rPr>
      </w:pPr>
      <w:r>
        <w:rPr>
          <w:sz w:val="24"/>
          <w:szCs w:val="24"/>
        </w:rPr>
        <w:t>One issue is the low success rate of students in the ASTR 100 course.  Because this course does not have any prerequisite, and uses basic mathematical skills, we may want to consider adding a mathematics prerequisite to the course.  This will ensure that the students are well-prepared for this course, which should help to increase retention and success rates in this course.</w:t>
      </w:r>
    </w:p>
    <w:p w:rsidR="00555678" w:rsidRDefault="00555678" w:rsidP="00555678">
      <w:pPr>
        <w:pStyle w:val="ListParagraph"/>
        <w:spacing w:after="0" w:line="240" w:lineRule="auto"/>
        <w:ind w:left="1800"/>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revisions, additions, deletions, or alternate </w:t>
      </w:r>
      <w:r w:rsidR="006C7590" w:rsidRPr="00271A0B">
        <w:rPr>
          <w:sz w:val="24"/>
          <w:szCs w:val="24"/>
        </w:rPr>
        <w:t>delivery methods to courses and/or program</w:t>
      </w:r>
      <w:r w:rsidR="00110022">
        <w:rPr>
          <w:sz w:val="24"/>
          <w:szCs w:val="24"/>
        </w:rPr>
        <w:t xml:space="preserve"> based on </w:t>
      </w:r>
      <w:r w:rsidR="00BA22FE">
        <w:rPr>
          <w:sz w:val="24"/>
          <w:szCs w:val="24"/>
        </w:rPr>
        <w:t>the last program review</w:t>
      </w:r>
      <w:r w:rsidR="006C7590" w:rsidRPr="00271A0B">
        <w:rPr>
          <w:sz w:val="24"/>
          <w:szCs w:val="24"/>
        </w:rPr>
        <w:t>.</w:t>
      </w:r>
    </w:p>
    <w:p w:rsidR="0023193A" w:rsidRDefault="0023193A" w:rsidP="00C32B0F">
      <w:pPr>
        <w:spacing w:after="0" w:line="240" w:lineRule="auto"/>
        <w:ind w:left="1440"/>
        <w:rPr>
          <w:sz w:val="24"/>
          <w:szCs w:val="24"/>
        </w:rPr>
      </w:pPr>
    </w:p>
    <w:p w:rsidR="00C32B0F" w:rsidRPr="00AE599F" w:rsidRDefault="0067490F" w:rsidP="00C32B0F">
      <w:pPr>
        <w:spacing w:after="0" w:line="240" w:lineRule="auto"/>
        <w:ind w:left="1440"/>
        <w:rPr>
          <w:sz w:val="24"/>
          <w:szCs w:val="24"/>
        </w:rPr>
      </w:pPr>
      <w:r>
        <w:rPr>
          <w:sz w:val="24"/>
          <w:szCs w:val="24"/>
        </w:rPr>
        <w:t>Some sections of MATH 119 have been offered online, but have not in the past 2 years due to a cutback in the number of online courses being taught.  As the DE program becomes more robust, we expect to be able to offer several sections of MATH 119 online in the near future.</w:t>
      </w:r>
    </w:p>
    <w:p w:rsidR="00C521EC" w:rsidRDefault="00C521EC" w:rsidP="00271A0B">
      <w:pPr>
        <w:spacing w:after="0" w:line="240" w:lineRule="auto"/>
        <w:ind w:left="1440"/>
        <w:rPr>
          <w:sz w:val="24"/>
          <w:szCs w:val="24"/>
        </w:rPr>
      </w:pPr>
    </w:p>
    <w:p w:rsidR="006C7590" w:rsidRPr="004111B8" w:rsidRDefault="006C7590" w:rsidP="00271A0B">
      <w:pPr>
        <w:pStyle w:val="ListParagraph"/>
        <w:numPr>
          <w:ilvl w:val="0"/>
          <w:numId w:val="6"/>
        </w:numPr>
        <w:spacing w:after="0" w:line="240" w:lineRule="auto"/>
        <w:rPr>
          <w:sz w:val="24"/>
          <w:szCs w:val="24"/>
        </w:rPr>
      </w:pPr>
      <w:r w:rsidRPr="004111B8">
        <w:rPr>
          <w:sz w:val="24"/>
          <w:szCs w:val="24"/>
        </w:rPr>
        <w:t>Evaluate the program</w:t>
      </w:r>
      <w:r w:rsidR="004111B8">
        <w:rPr>
          <w:sz w:val="24"/>
          <w:szCs w:val="24"/>
        </w:rPr>
        <w:t>’</w:t>
      </w:r>
      <w:r w:rsidRPr="004111B8">
        <w:rPr>
          <w:sz w:val="24"/>
          <w:szCs w:val="24"/>
        </w:rPr>
        <w:t xml:space="preserve">s viability by addressing </w:t>
      </w:r>
      <w:r w:rsidR="004111B8">
        <w:rPr>
          <w:sz w:val="24"/>
          <w:szCs w:val="24"/>
        </w:rPr>
        <w:t xml:space="preserve">program completion, </w:t>
      </w:r>
      <w:r w:rsidRPr="004111B8">
        <w:rPr>
          <w:sz w:val="24"/>
          <w:szCs w:val="24"/>
        </w:rPr>
        <w:t xml:space="preserve">size (FTES), projections (growing/stable/declining), </w:t>
      </w:r>
      <w:r w:rsidR="00A2467D" w:rsidRPr="004111B8">
        <w:rPr>
          <w:sz w:val="24"/>
          <w:szCs w:val="24"/>
        </w:rPr>
        <w:t xml:space="preserve">and </w:t>
      </w:r>
      <w:r w:rsidRPr="004111B8">
        <w:rPr>
          <w:sz w:val="24"/>
          <w:szCs w:val="24"/>
        </w:rPr>
        <w:t>quality of outcomes</w:t>
      </w:r>
      <w:r w:rsidR="00A2467D" w:rsidRPr="004111B8">
        <w:rPr>
          <w:sz w:val="24"/>
          <w:szCs w:val="24"/>
        </w:rPr>
        <w:t>. For</w:t>
      </w:r>
      <w:r w:rsidRPr="004111B8">
        <w:rPr>
          <w:sz w:val="24"/>
          <w:szCs w:val="24"/>
        </w:rPr>
        <w:t xml:space="preserve"> CTE programs</w:t>
      </w:r>
      <w:r w:rsidR="00A2467D" w:rsidRPr="004111B8">
        <w:rPr>
          <w:sz w:val="24"/>
          <w:szCs w:val="24"/>
        </w:rPr>
        <w:t>,</w:t>
      </w:r>
      <w:r w:rsidRPr="004111B8">
        <w:rPr>
          <w:sz w:val="24"/>
          <w:szCs w:val="24"/>
        </w:rPr>
        <w:t xml:space="preserve"> </w:t>
      </w:r>
      <w:r w:rsidR="00A2467D" w:rsidRPr="004111B8">
        <w:rPr>
          <w:sz w:val="24"/>
          <w:szCs w:val="24"/>
        </w:rPr>
        <w:t xml:space="preserve">also include </w:t>
      </w:r>
      <w:r w:rsidRPr="004111B8">
        <w:rPr>
          <w:sz w:val="24"/>
          <w:szCs w:val="24"/>
        </w:rPr>
        <w:t>labor market projections</w:t>
      </w:r>
      <w:r w:rsidR="00BA22FE" w:rsidRPr="004111B8">
        <w:rPr>
          <w:sz w:val="24"/>
          <w:szCs w:val="24"/>
        </w:rPr>
        <w:t>, placement, and performance on external testing/exams (i.e. ASE, NABCEP)</w:t>
      </w:r>
      <w:r w:rsidRPr="004111B8">
        <w:rPr>
          <w:sz w:val="24"/>
          <w:szCs w:val="24"/>
        </w:rPr>
        <w:t xml:space="preserve"> and </w:t>
      </w:r>
      <w:r w:rsidR="00110022" w:rsidRPr="004111B8">
        <w:rPr>
          <w:sz w:val="24"/>
          <w:szCs w:val="24"/>
        </w:rPr>
        <w:t>industry-recognized credentials, placement, and performance on external testing or exams (NCLEX, ASC, NAP).</w:t>
      </w:r>
    </w:p>
    <w:p w:rsidR="0023193A" w:rsidRDefault="0023193A" w:rsidP="006D4F29">
      <w:pPr>
        <w:spacing w:after="0" w:line="240" w:lineRule="auto"/>
        <w:ind w:left="1440"/>
        <w:rPr>
          <w:sz w:val="24"/>
          <w:szCs w:val="24"/>
        </w:rPr>
      </w:pPr>
    </w:p>
    <w:p w:rsidR="00597A61" w:rsidRDefault="00924957" w:rsidP="006D4F29">
      <w:pPr>
        <w:spacing w:after="0" w:line="240" w:lineRule="auto"/>
        <w:ind w:left="1440"/>
        <w:rPr>
          <w:sz w:val="24"/>
          <w:szCs w:val="24"/>
        </w:rPr>
      </w:pPr>
      <w:r>
        <w:rPr>
          <w:sz w:val="24"/>
          <w:szCs w:val="24"/>
        </w:rPr>
        <w:lastRenderedPageBreak/>
        <w:t xml:space="preserve">Overall, the program is successful, even though there have only been 5 degrees awarded in the past 3 years.  This could be </w:t>
      </w:r>
      <w:r w:rsidR="00293F3C">
        <w:rPr>
          <w:sz w:val="24"/>
          <w:szCs w:val="24"/>
        </w:rPr>
        <w:t>due to many students who are taking these classes are Mathematics majors, or transfer to 4-year universities without applying for their A.A. degree, en route to earning their B.A. or B.S. degrees.  FTES in PHSC 110 and ASTR 100 classes have been steady, and in other courses, such as CHEM 200 and CHEM 202, have been increasing.</w:t>
      </w:r>
    </w:p>
    <w:p w:rsidR="00597A61" w:rsidRDefault="00597A61" w:rsidP="006D4F29">
      <w:pPr>
        <w:spacing w:after="0" w:line="240" w:lineRule="auto"/>
        <w:ind w:left="1440"/>
        <w:rPr>
          <w:sz w:val="24"/>
          <w:szCs w:val="24"/>
        </w:rPr>
      </w:pPr>
    </w:p>
    <w:p w:rsidR="00AE5C40" w:rsidRDefault="00AE5C40" w:rsidP="006D4F29">
      <w:pPr>
        <w:spacing w:after="0" w:line="240" w:lineRule="auto"/>
        <w:ind w:left="1440"/>
        <w:rPr>
          <w:sz w:val="24"/>
          <w:szCs w:val="24"/>
        </w:rPr>
      </w:pPr>
      <w:bookmarkStart w:id="1" w:name="_GoBack"/>
      <w:bookmarkEnd w:id="1"/>
      <w:r>
        <w:rPr>
          <w:sz w:val="24"/>
          <w:szCs w:val="24"/>
        </w:rPr>
        <w:br w:type="page"/>
      </w:r>
    </w:p>
    <w:p w:rsidR="004111B8" w:rsidRDefault="007F00B5" w:rsidP="004111B8">
      <w:pPr>
        <w:spacing w:after="0" w:line="240" w:lineRule="auto"/>
        <w:ind w:left="720"/>
        <w:rPr>
          <w:b/>
          <w:sz w:val="32"/>
          <w:szCs w:val="32"/>
        </w:rPr>
      </w:pPr>
      <w:r w:rsidRPr="000403F6">
        <w:rPr>
          <w:b/>
          <w:sz w:val="32"/>
          <w:szCs w:val="32"/>
        </w:rPr>
        <w:lastRenderedPageBreak/>
        <w:t xml:space="preserve">C. </w:t>
      </w:r>
      <w:r w:rsidR="00A257C2" w:rsidRPr="000403F6">
        <w:rPr>
          <w:b/>
          <w:sz w:val="32"/>
          <w:szCs w:val="32"/>
        </w:rPr>
        <w:t xml:space="preserve">FUTURE – LIST OF </w:t>
      </w:r>
      <w:r w:rsidR="00BA22FE">
        <w:rPr>
          <w:b/>
          <w:sz w:val="32"/>
          <w:szCs w:val="32"/>
        </w:rPr>
        <w:t>“</w:t>
      </w:r>
      <w:r w:rsidR="00BA22FE" w:rsidRPr="006B712B">
        <w:rPr>
          <w:b/>
          <w:color w:val="C00000"/>
          <w:sz w:val="32"/>
          <w:szCs w:val="32"/>
        </w:rPr>
        <w:t>SMART</w:t>
      </w:r>
      <w:r w:rsidR="00BA22FE">
        <w:rPr>
          <w:b/>
          <w:sz w:val="32"/>
          <w:szCs w:val="32"/>
        </w:rPr>
        <w:t xml:space="preserve">” </w:t>
      </w:r>
      <w:r w:rsidR="004111B8">
        <w:rPr>
          <w:b/>
          <w:sz w:val="32"/>
          <w:szCs w:val="32"/>
        </w:rPr>
        <w:t>(</w:t>
      </w:r>
      <w:r w:rsidR="004111B8" w:rsidRPr="006B712B">
        <w:rPr>
          <w:b/>
          <w:color w:val="C00000"/>
          <w:sz w:val="36"/>
          <w:szCs w:val="32"/>
          <w:u w:val="single"/>
        </w:rPr>
        <w:t>S</w:t>
      </w:r>
      <w:r w:rsidR="004111B8" w:rsidRPr="000C3BC9">
        <w:rPr>
          <w:b/>
          <w:szCs w:val="24"/>
        </w:rPr>
        <w:t>PECIFIC</w:t>
      </w:r>
      <w:r w:rsidR="004111B8" w:rsidRPr="000C3BC9">
        <w:rPr>
          <w:sz w:val="24"/>
          <w:szCs w:val="24"/>
        </w:rPr>
        <w:t xml:space="preserve"> </w:t>
      </w:r>
      <w:r w:rsidR="004111B8" w:rsidRPr="006B712B">
        <w:rPr>
          <w:b/>
          <w:color w:val="C00000"/>
          <w:sz w:val="36"/>
          <w:szCs w:val="32"/>
          <w:u w:val="single"/>
        </w:rPr>
        <w:t>M</w:t>
      </w:r>
      <w:r w:rsidR="004111B8" w:rsidRPr="000C3BC9">
        <w:rPr>
          <w:b/>
          <w:szCs w:val="24"/>
        </w:rPr>
        <w:t>EASURABLE</w:t>
      </w:r>
      <w:r w:rsidR="004111B8" w:rsidRPr="00BF037A">
        <w:rPr>
          <w:b/>
          <w:sz w:val="24"/>
          <w:szCs w:val="24"/>
        </w:rPr>
        <w:t xml:space="preserve"> </w:t>
      </w:r>
      <w:r w:rsidR="004111B8" w:rsidRPr="006B712B">
        <w:rPr>
          <w:b/>
          <w:color w:val="C00000"/>
          <w:sz w:val="36"/>
          <w:szCs w:val="32"/>
          <w:u w:val="single"/>
        </w:rPr>
        <w:t>A</w:t>
      </w:r>
      <w:r w:rsidR="004111B8" w:rsidRPr="000C3BC9">
        <w:rPr>
          <w:b/>
          <w:szCs w:val="24"/>
        </w:rPr>
        <w:t xml:space="preserve">TTAINABLE </w:t>
      </w:r>
      <w:r w:rsidR="004111B8" w:rsidRPr="006B712B">
        <w:rPr>
          <w:b/>
          <w:color w:val="C00000"/>
          <w:sz w:val="36"/>
          <w:szCs w:val="32"/>
          <w:u w:val="single"/>
        </w:rPr>
        <w:t>R</w:t>
      </w:r>
      <w:r w:rsidR="004111B8" w:rsidRPr="000C3BC9">
        <w:rPr>
          <w:b/>
          <w:szCs w:val="24"/>
        </w:rPr>
        <w:t>ELEVANT</w:t>
      </w:r>
      <w:r w:rsidR="004111B8" w:rsidRPr="000C3BC9">
        <w:rPr>
          <w:szCs w:val="24"/>
        </w:rPr>
        <w:t xml:space="preserve"> </w:t>
      </w:r>
      <w:r w:rsidR="004111B8" w:rsidRPr="006B712B">
        <w:rPr>
          <w:b/>
          <w:color w:val="C00000"/>
          <w:sz w:val="36"/>
          <w:szCs w:val="32"/>
          <w:u w:val="single"/>
        </w:rPr>
        <w:t>T</w:t>
      </w:r>
      <w:r w:rsidR="004111B8" w:rsidRPr="000C3BC9">
        <w:rPr>
          <w:b/>
          <w:szCs w:val="24"/>
        </w:rPr>
        <w:t>IME-LIMITED</w:t>
      </w:r>
      <w:r w:rsidR="004111B8">
        <w:rPr>
          <w:b/>
          <w:sz w:val="32"/>
          <w:szCs w:val="32"/>
        </w:rPr>
        <w:t xml:space="preserve">) </w:t>
      </w:r>
      <w:r w:rsidR="00D13C67">
        <w:rPr>
          <w:b/>
          <w:sz w:val="32"/>
          <w:szCs w:val="32"/>
        </w:rPr>
        <w:t xml:space="preserve">PROGRAM </w:t>
      </w:r>
      <w:r w:rsidR="000C3BC9">
        <w:rPr>
          <w:b/>
          <w:sz w:val="32"/>
          <w:szCs w:val="32"/>
        </w:rPr>
        <w:t xml:space="preserve">OBJECTIVES </w:t>
      </w:r>
      <w:r w:rsidR="00A257C2" w:rsidRPr="000403F6">
        <w:rPr>
          <w:b/>
          <w:sz w:val="32"/>
          <w:szCs w:val="32"/>
        </w:rPr>
        <w:t xml:space="preserve">FOR </w:t>
      </w:r>
      <w:r w:rsidR="00271A0B">
        <w:rPr>
          <w:b/>
          <w:sz w:val="32"/>
          <w:szCs w:val="32"/>
        </w:rPr>
        <w:t>NEXT ACADEMIC YEAR</w:t>
      </w:r>
      <w:r w:rsidR="00A257C2" w:rsidRPr="000403F6">
        <w:rPr>
          <w:b/>
          <w:sz w:val="32"/>
          <w:szCs w:val="32"/>
        </w:rPr>
        <w:t xml:space="preserve"> TO ADDRESS PROGRAM IMPROVEMENT, </w:t>
      </w:r>
      <w:r w:rsidR="00BA22FE">
        <w:rPr>
          <w:b/>
          <w:sz w:val="32"/>
          <w:szCs w:val="32"/>
        </w:rPr>
        <w:t>GROWTH, OR UNMET NEEDS/GOALS</w:t>
      </w:r>
      <w:r w:rsidR="00110022">
        <w:rPr>
          <w:b/>
          <w:sz w:val="32"/>
          <w:szCs w:val="32"/>
        </w:rPr>
        <w:t xml:space="preserve">. </w:t>
      </w:r>
      <w:r w:rsidR="00110022">
        <w:rPr>
          <w:b/>
          <w:sz w:val="32"/>
          <w:szCs w:val="32"/>
          <w:u w:val="single"/>
        </w:rPr>
        <w:t>ALL PROGRAM GOALS MUST ADDRESS AT LEAST ONE OF THE INSTITUTIONAL GOALS</w:t>
      </w:r>
      <w:r w:rsidR="00110022">
        <w:rPr>
          <w:b/>
          <w:sz w:val="32"/>
          <w:szCs w:val="32"/>
        </w:rPr>
        <w:t>.</w:t>
      </w:r>
    </w:p>
    <w:p w:rsidR="001C394F" w:rsidRDefault="001C394F" w:rsidP="004111B8">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71593B" w:rsidRPr="00BF037A" w:rsidTr="00D9584C">
        <w:trPr>
          <w:trHeight w:val="710"/>
        </w:trPr>
        <w:tc>
          <w:tcPr>
            <w:tcW w:w="10980" w:type="dxa"/>
            <w:gridSpan w:val="5"/>
            <w:vAlign w:val="center"/>
          </w:tcPr>
          <w:p w:rsidR="001C4679" w:rsidRDefault="0071593B" w:rsidP="00875F92">
            <w:pPr>
              <w:tabs>
                <w:tab w:val="left" w:pos="3414"/>
              </w:tabs>
              <w:jc w:val="center"/>
              <w:rPr>
                <w:b/>
                <w:sz w:val="32"/>
                <w:szCs w:val="32"/>
              </w:rPr>
            </w:pPr>
            <w:r w:rsidRPr="00B30971">
              <w:rPr>
                <w:b/>
                <w:sz w:val="32"/>
                <w:szCs w:val="32"/>
              </w:rPr>
              <w:t>FUTURE</w:t>
            </w:r>
            <w:r w:rsidR="0013472B" w:rsidRPr="00B30971">
              <w:rPr>
                <w:b/>
                <w:sz w:val="32"/>
                <w:szCs w:val="32"/>
              </w:rPr>
              <w:t xml:space="preserve"> PROGRAM</w:t>
            </w:r>
            <w:r w:rsidRPr="00B30971">
              <w:rPr>
                <w:b/>
                <w:sz w:val="32"/>
                <w:szCs w:val="32"/>
              </w:rPr>
              <w:t xml:space="preserve"> GOALS</w:t>
            </w:r>
          </w:p>
          <w:p w:rsidR="0039232D" w:rsidRPr="00B30971" w:rsidRDefault="001C4679" w:rsidP="00875F92">
            <w:pPr>
              <w:tabs>
                <w:tab w:val="left" w:pos="3414"/>
              </w:tabs>
              <w:jc w:val="center"/>
              <w:rPr>
                <w:sz w:val="32"/>
                <w:szCs w:val="32"/>
              </w:rPr>
            </w:pPr>
            <w:r w:rsidRPr="00BF037A">
              <w:rPr>
                <w:sz w:val="18"/>
                <w:szCs w:val="18"/>
              </w:rPr>
              <w:t>(Describe future program goals</w:t>
            </w:r>
            <w:r>
              <w:rPr>
                <w:sz w:val="18"/>
                <w:szCs w:val="18"/>
              </w:rPr>
              <w:t>. List in order of budget priority.</w:t>
            </w:r>
            <w:r w:rsidRPr="00BF037A">
              <w:rPr>
                <w:sz w:val="18"/>
                <w:szCs w:val="18"/>
              </w:rPr>
              <w:t>)</w:t>
            </w:r>
          </w:p>
        </w:tc>
        <w:tc>
          <w:tcPr>
            <w:tcW w:w="1980" w:type="dxa"/>
            <w:vAlign w:val="center"/>
          </w:tcPr>
          <w:p w:rsidR="001C4679" w:rsidRDefault="0071593B" w:rsidP="00271A0B">
            <w:pPr>
              <w:jc w:val="center"/>
              <w:rPr>
                <w:sz w:val="18"/>
                <w:szCs w:val="18"/>
              </w:rPr>
            </w:pPr>
            <w:r w:rsidRPr="005707F9">
              <w:rPr>
                <w:b/>
                <w:sz w:val="24"/>
                <w:szCs w:val="24"/>
              </w:rPr>
              <w:t>INSTITUTIONAL GOAL(S)</w:t>
            </w:r>
            <w:r w:rsidR="001C4679" w:rsidRPr="00BF037A">
              <w:rPr>
                <w:sz w:val="18"/>
                <w:szCs w:val="18"/>
              </w:rPr>
              <w:t xml:space="preserve"> </w:t>
            </w:r>
          </w:p>
          <w:p w:rsidR="0071593B" w:rsidRPr="005707F9" w:rsidRDefault="001C4679" w:rsidP="00271A0B">
            <w:pPr>
              <w:jc w:val="center"/>
              <w:rPr>
                <w:sz w:val="24"/>
                <w:szCs w:val="24"/>
              </w:rPr>
            </w:pPr>
            <w:r>
              <w:rPr>
                <w:sz w:val="18"/>
                <w:szCs w:val="18"/>
              </w:rPr>
              <w:t>(</w:t>
            </w:r>
            <w:r w:rsidRPr="00BF037A">
              <w:rPr>
                <w:sz w:val="18"/>
                <w:szCs w:val="18"/>
              </w:rPr>
              <w:t>Check all that apply</w:t>
            </w:r>
            <w:r>
              <w:rPr>
                <w:sz w:val="18"/>
                <w:szCs w:val="18"/>
              </w:rPr>
              <w:t>.</w:t>
            </w:r>
            <w:r w:rsidRPr="00BF037A">
              <w:rPr>
                <w:sz w:val="18"/>
                <w:szCs w:val="18"/>
              </w:rPr>
              <w:t>)</w:t>
            </w:r>
          </w:p>
        </w:tc>
      </w:tr>
      <w:tr w:rsidR="005707F9" w:rsidTr="00D9584C">
        <w:tc>
          <w:tcPr>
            <w:tcW w:w="10980" w:type="dxa"/>
            <w:gridSpan w:val="5"/>
            <w:tcBorders>
              <w:top w:val="single" w:sz="4" w:space="0" w:color="auto"/>
              <w:left w:val="nil"/>
              <w:bottom w:val="single" w:sz="4" w:space="0" w:color="auto"/>
              <w:right w:val="nil"/>
            </w:tcBorders>
          </w:tcPr>
          <w:p w:rsidR="005707F9" w:rsidRPr="004F1EA0" w:rsidRDefault="005707F9" w:rsidP="005707F9">
            <w:pPr>
              <w:jc w:val="center"/>
              <w:rPr>
                <w:b/>
                <w:szCs w:val="24"/>
              </w:rPr>
            </w:pPr>
          </w:p>
        </w:tc>
        <w:tc>
          <w:tcPr>
            <w:tcW w:w="1980" w:type="dxa"/>
            <w:tcBorders>
              <w:top w:val="single" w:sz="4" w:space="0" w:color="auto"/>
              <w:left w:val="nil"/>
              <w:bottom w:val="single" w:sz="4" w:space="0" w:color="auto"/>
              <w:right w:val="nil"/>
            </w:tcBorders>
          </w:tcPr>
          <w:p w:rsidR="005707F9" w:rsidRDefault="005707F9" w:rsidP="00CC5AEE">
            <w:pPr>
              <w:jc w:val="center"/>
              <w:rPr>
                <w:rFonts w:asciiTheme="majorHAnsi" w:eastAsia="Times New Roman" w:hAnsiTheme="majorHAnsi" w:cs="Arial"/>
                <w:sz w:val="28"/>
                <w:szCs w:val="28"/>
                <w:shd w:val="clear" w:color="auto" w:fill="BFBFBF" w:themeFill="background1" w:themeFillShade="BF"/>
              </w:rPr>
            </w:pP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5707F9">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5707F9">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1</w:t>
            </w:r>
          </w:p>
          <w:p w:rsidR="00D001FF" w:rsidRPr="005707F9" w:rsidRDefault="00D001FF" w:rsidP="005707F9">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D001FF" w:rsidRPr="005707F9" w:rsidRDefault="00D001FF" w:rsidP="00CC5AEE">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707F9" w:rsidTr="00D9584C">
        <w:tc>
          <w:tcPr>
            <w:tcW w:w="10980" w:type="dxa"/>
            <w:gridSpan w:val="5"/>
            <w:tcBorders>
              <w:top w:val="single"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Identify Goal:</w:t>
            </w:r>
            <w:r w:rsidRPr="005707F9">
              <w:rPr>
                <w:sz w:val="24"/>
                <w:szCs w:val="24"/>
              </w:rPr>
              <w:t xml:space="preserve"> </w:t>
            </w:r>
            <w:r w:rsidR="008C181E">
              <w:rPr>
                <w:sz w:val="24"/>
                <w:szCs w:val="24"/>
              </w:rPr>
              <w:t>Increase student transfer opportunities</w:t>
            </w:r>
          </w:p>
          <w:p w:rsidR="005707F9" w:rsidRPr="005707F9" w:rsidRDefault="005707F9" w:rsidP="00CF1504">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8C181E"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707F9"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E87BA0">
            <w:pPr>
              <w:rPr>
                <w:sz w:val="24"/>
                <w:szCs w:val="24"/>
              </w:rPr>
            </w:pPr>
            <w:r w:rsidRPr="005707F9">
              <w:rPr>
                <w:b/>
                <w:sz w:val="24"/>
                <w:szCs w:val="24"/>
              </w:rPr>
              <w:t>Objective:</w:t>
            </w:r>
            <w:r w:rsidRPr="005707F9">
              <w:rPr>
                <w:sz w:val="24"/>
                <w:szCs w:val="24"/>
              </w:rPr>
              <w:t xml:space="preserve"> </w:t>
            </w:r>
            <w:r w:rsidR="008C181E">
              <w:rPr>
                <w:sz w:val="24"/>
                <w:szCs w:val="24"/>
              </w:rPr>
              <w:t>Increase number of sections of lower-level chemistry classes (CHEM 100, 200, 202), and offer upper-level chemistry classes (CHEM 204, 206).</w:t>
            </w:r>
          </w:p>
        </w:tc>
        <w:tc>
          <w:tcPr>
            <w:tcW w:w="1980" w:type="dxa"/>
            <w:vMerge/>
            <w:tcBorders>
              <w:top w:val="single" w:sz="4" w:space="0" w:color="auto"/>
              <w:left w:val="dotted" w:sz="4" w:space="0" w:color="auto"/>
              <w:right w:val="single" w:sz="4" w:space="0" w:color="auto"/>
            </w:tcBorders>
          </w:tcPr>
          <w:p w:rsidR="005707F9" w:rsidRDefault="005707F9" w:rsidP="00CC5AEE">
            <w:pPr>
              <w:jc w:val="center"/>
              <w:rPr>
                <w:sz w:val="24"/>
                <w:szCs w:val="24"/>
              </w:rPr>
            </w:pP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Task(s):</w:t>
            </w:r>
            <w:r w:rsidRPr="005707F9">
              <w:rPr>
                <w:sz w:val="24"/>
                <w:szCs w:val="24"/>
              </w:rPr>
              <w:t xml:space="preserve"> </w:t>
            </w:r>
            <w:r w:rsidR="008C181E">
              <w:rPr>
                <w:sz w:val="24"/>
                <w:szCs w:val="24"/>
              </w:rPr>
              <w:t>Hire another Chemistry instructor to teach additional CHEM 100 and upper-level CHEM sections via a STEM grant proposal.</w:t>
            </w:r>
          </w:p>
        </w:tc>
        <w:tc>
          <w:tcPr>
            <w:tcW w:w="1980" w:type="dxa"/>
            <w:vMerge/>
            <w:tcBorders>
              <w:left w:val="dotted" w:sz="4" w:space="0" w:color="auto"/>
              <w:right w:val="single" w:sz="4" w:space="0" w:color="auto"/>
            </w:tcBorders>
          </w:tcPr>
          <w:p w:rsidR="005707F9" w:rsidRDefault="005707F9" w:rsidP="00D13C67">
            <w:pPr>
              <w:rPr>
                <w:sz w:val="24"/>
                <w:szCs w:val="24"/>
              </w:rPr>
            </w:pPr>
          </w:p>
        </w:tc>
      </w:tr>
      <w:tr w:rsidR="005707F9" w:rsidTr="00D9584C">
        <w:tc>
          <w:tcPr>
            <w:tcW w:w="10980" w:type="dxa"/>
            <w:gridSpan w:val="5"/>
            <w:tcBorders>
              <w:top w:val="dotted" w:sz="4" w:space="0" w:color="auto"/>
              <w:left w:val="single" w:sz="4" w:space="0" w:color="auto"/>
              <w:bottom w:val="single" w:sz="4" w:space="0" w:color="auto"/>
              <w:right w:val="dotted" w:sz="4" w:space="0" w:color="auto"/>
            </w:tcBorders>
          </w:tcPr>
          <w:p w:rsidR="005707F9" w:rsidRPr="005707F9" w:rsidRDefault="005707F9" w:rsidP="00CF1504">
            <w:pPr>
              <w:rPr>
                <w:sz w:val="24"/>
                <w:szCs w:val="24"/>
              </w:rPr>
            </w:pPr>
            <w:r w:rsidRPr="005707F9">
              <w:rPr>
                <w:b/>
                <w:sz w:val="24"/>
                <w:szCs w:val="24"/>
              </w:rPr>
              <w:t>Timeline:</w:t>
            </w:r>
            <w:r w:rsidRPr="005707F9">
              <w:rPr>
                <w:sz w:val="24"/>
                <w:szCs w:val="24"/>
              </w:rPr>
              <w:t xml:space="preserve"> </w:t>
            </w:r>
            <w:r w:rsidR="008C181E">
              <w:rPr>
                <w:sz w:val="24"/>
                <w:szCs w:val="24"/>
              </w:rPr>
              <w:t>Expect to hire within 3 years.</w:t>
            </w:r>
          </w:p>
        </w:tc>
        <w:tc>
          <w:tcPr>
            <w:tcW w:w="1980" w:type="dxa"/>
            <w:vMerge/>
            <w:tcBorders>
              <w:left w:val="dotted" w:sz="4" w:space="0" w:color="auto"/>
              <w:bottom w:val="single" w:sz="4" w:space="0" w:color="auto"/>
              <w:right w:val="single" w:sz="4" w:space="0" w:color="auto"/>
            </w:tcBorders>
          </w:tcPr>
          <w:p w:rsidR="005707F9" w:rsidRDefault="005707F9" w:rsidP="00D13C67">
            <w:pPr>
              <w:rPr>
                <w:sz w:val="24"/>
                <w:szCs w:val="24"/>
              </w:rPr>
            </w:pPr>
          </w:p>
        </w:tc>
      </w:tr>
      <w:tr w:rsidR="005707F9" w:rsidTr="006854CC">
        <w:trPr>
          <w:trHeight w:val="517"/>
        </w:trPr>
        <w:tc>
          <w:tcPr>
            <w:tcW w:w="1980" w:type="dxa"/>
            <w:gridSpan w:val="2"/>
            <w:tcBorders>
              <w:left w:val="single" w:sz="4" w:space="0" w:color="auto"/>
              <w:bottom w:val="single" w:sz="4" w:space="0" w:color="auto"/>
              <w:right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5707F9" w:rsidRPr="00455861" w:rsidRDefault="005707F9" w:rsidP="004A2B92">
            <w:pPr>
              <w:jc w:val="center"/>
              <w:rPr>
                <w:b/>
                <w:sz w:val="24"/>
                <w:szCs w:val="24"/>
              </w:rPr>
            </w:pPr>
            <w:r w:rsidRPr="00455861">
              <w:rPr>
                <w:b/>
                <w:sz w:val="24"/>
                <w:szCs w:val="24"/>
              </w:rPr>
              <w:t>RESOURCE PLAN</w:t>
            </w:r>
          </w:p>
          <w:p w:rsidR="00455861" w:rsidRPr="00455861" w:rsidRDefault="00455861" w:rsidP="004A2B9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5707F9" w:rsidRPr="00455861" w:rsidRDefault="005707F9" w:rsidP="00455861">
            <w:pPr>
              <w:jc w:val="center"/>
              <w:rPr>
                <w:b/>
                <w:sz w:val="24"/>
                <w:szCs w:val="24"/>
              </w:rPr>
            </w:pPr>
            <w:r w:rsidRPr="00455861">
              <w:rPr>
                <w:b/>
                <w:sz w:val="24"/>
                <w:szCs w:val="24"/>
              </w:rPr>
              <w:t>BUDGET REQUEST</w:t>
            </w:r>
          </w:p>
        </w:tc>
      </w:tr>
      <w:tr w:rsidR="006854CC" w:rsidTr="006854CC">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1"/>
                  <w:enabled/>
                  <w:calcOnExit w:val="0"/>
                  <w:checkBox>
                    <w:sizeAuto/>
                    <w:default w:val="0"/>
                  </w:checkBox>
                </w:ffData>
              </w:fldChar>
            </w:r>
            <w:bookmarkStart w:id="2" w:name="Check1"/>
            <w:r w:rsidRPr="005707F9">
              <w:rPr>
                <w:sz w:val="24"/>
                <w:szCs w:val="24"/>
              </w:rPr>
              <w:instrText xml:space="preserve"> FORMCHECKBOX </w:instrText>
            </w:r>
            <w:r w:rsidRPr="005707F9">
              <w:rPr>
                <w:sz w:val="24"/>
                <w:szCs w:val="24"/>
              </w:rPr>
            </w:r>
            <w:r w:rsidRPr="005707F9">
              <w:rPr>
                <w:sz w:val="24"/>
                <w:szCs w:val="24"/>
              </w:rPr>
              <w:fldChar w:fldCharType="end"/>
            </w:r>
            <w:bookmarkEnd w:id="2"/>
            <w:r w:rsidRPr="005707F9">
              <w:rPr>
                <w:sz w:val="24"/>
                <w:szCs w:val="24"/>
              </w:rPr>
              <w:t xml:space="preserve"> O</w:t>
            </w:r>
            <w:r>
              <w:rPr>
                <w:sz w:val="24"/>
                <w:szCs w:val="24"/>
              </w:rPr>
              <w:t>ne-Time</w:t>
            </w:r>
          </w:p>
          <w:p w:rsidR="006854CC" w:rsidRPr="005707F9" w:rsidRDefault="006854CC" w:rsidP="005707F9">
            <w:pPr>
              <w:rPr>
                <w:sz w:val="24"/>
                <w:szCs w:val="24"/>
              </w:rPr>
            </w:pPr>
          </w:p>
          <w:p w:rsidR="006854CC" w:rsidRPr="005707F9" w:rsidRDefault="008C181E" w:rsidP="005707F9">
            <w:pPr>
              <w:rPr>
                <w:sz w:val="24"/>
                <w:szCs w:val="24"/>
              </w:rPr>
            </w:pPr>
            <w:r>
              <w:rPr>
                <w:sz w:val="24"/>
                <w:szCs w:val="24"/>
              </w:rPr>
              <w:fldChar w:fldCharType="begin">
                <w:ffData>
                  <w:name w:val="Check2"/>
                  <w:enabled/>
                  <w:calcOnExit w:val="0"/>
                  <w:checkBox>
                    <w:sizeAuto/>
                    <w:default w:val="1"/>
                  </w:checkBox>
                </w:ffData>
              </w:fldChar>
            </w:r>
            <w:bookmarkStart w:id="3" w:name="Check2"/>
            <w:r>
              <w:rPr>
                <w:sz w:val="24"/>
                <w:szCs w:val="24"/>
              </w:rPr>
              <w:instrText xml:space="preserve"> FORMCHECKBOX </w:instrText>
            </w:r>
            <w:r>
              <w:rPr>
                <w:sz w:val="24"/>
                <w:szCs w:val="24"/>
              </w:rPr>
            </w:r>
            <w:r>
              <w:rPr>
                <w:sz w:val="24"/>
                <w:szCs w:val="24"/>
              </w:rPr>
              <w:fldChar w:fldCharType="end"/>
            </w:r>
            <w:bookmarkEnd w:id="3"/>
            <w:r w:rsidR="006854CC" w:rsidRPr="005707F9">
              <w:rPr>
                <w:sz w:val="24"/>
                <w:szCs w:val="24"/>
              </w:rPr>
              <w:t xml:space="preserve"> </w:t>
            </w:r>
            <w:r w:rsidR="006854CC">
              <w:rPr>
                <w:sz w:val="24"/>
                <w:szCs w:val="24"/>
              </w:rPr>
              <w:t>Recurring</w:t>
            </w:r>
          </w:p>
        </w:tc>
        <w:tc>
          <w:tcPr>
            <w:tcW w:w="2970" w:type="dxa"/>
            <w:tcBorders>
              <w:left w:val="single" w:sz="4" w:space="0" w:color="auto"/>
              <w:bottom w:val="single" w:sz="4" w:space="0" w:color="auto"/>
            </w:tcBorders>
          </w:tcPr>
          <w:p w:rsidR="006854CC" w:rsidRDefault="006854CC" w:rsidP="005707F9">
            <w:pPr>
              <w:rPr>
                <w:sz w:val="24"/>
                <w:szCs w:val="24"/>
              </w:rPr>
            </w:pPr>
          </w:p>
          <w:p w:rsidR="006854CC" w:rsidRDefault="008C181E" w:rsidP="005707F9">
            <w:pPr>
              <w:rPr>
                <w:sz w:val="24"/>
                <w:szCs w:val="24"/>
              </w:rPr>
            </w:pPr>
            <w:r>
              <w:rPr>
                <w:sz w:val="24"/>
                <w:szCs w:val="24"/>
              </w:rPr>
              <w:fldChar w:fldCharType="begin">
                <w:ffData>
                  <w:name w:val="Check3"/>
                  <w:enabled/>
                  <w:calcOnExit w:val="0"/>
                  <w:checkBox>
                    <w:sizeAuto/>
                    <w:default w:val="1"/>
                  </w:checkBox>
                </w:ffData>
              </w:fldChar>
            </w:r>
            <w:bookmarkStart w:id="4" w:name="Check3"/>
            <w:r>
              <w:rPr>
                <w:sz w:val="24"/>
                <w:szCs w:val="24"/>
              </w:rPr>
              <w:instrText xml:space="preserve"> FORMCHECKBOX </w:instrText>
            </w:r>
            <w:r>
              <w:rPr>
                <w:sz w:val="24"/>
                <w:szCs w:val="24"/>
              </w:rPr>
            </w:r>
            <w:r>
              <w:rPr>
                <w:sz w:val="24"/>
                <w:szCs w:val="24"/>
              </w:rPr>
              <w:fldChar w:fldCharType="end"/>
            </w:r>
            <w:bookmarkEnd w:id="4"/>
            <w:r w:rsidR="006854CC" w:rsidRPr="005707F9">
              <w:rPr>
                <w:sz w:val="24"/>
                <w:szCs w:val="24"/>
              </w:rPr>
              <w:t xml:space="preserve"> C</w:t>
            </w:r>
            <w:r w:rsidR="006854CC">
              <w:rPr>
                <w:sz w:val="24"/>
                <w:szCs w:val="24"/>
              </w:rPr>
              <w:t>ategorical</w:t>
            </w:r>
          </w:p>
          <w:p w:rsidR="006854CC" w:rsidRPr="005707F9" w:rsidRDefault="006854CC" w:rsidP="008C181E">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008C181E">
              <w:rPr>
                <w:sz w:val="24"/>
                <w:szCs w:val="24"/>
              </w:rPr>
              <w:t>STEM grant</w:t>
            </w:r>
          </w:p>
        </w:tc>
        <w:tc>
          <w:tcPr>
            <w:tcW w:w="2610" w:type="dxa"/>
            <w:tcBorders>
              <w:left w:val="single" w:sz="4" w:space="0" w:color="auto"/>
              <w:bottom w:val="single" w:sz="4" w:space="0" w:color="auto"/>
            </w:tcBorders>
          </w:tcPr>
          <w:p w:rsidR="006854CC" w:rsidRPr="005707F9" w:rsidRDefault="006854CC" w:rsidP="005707F9">
            <w:pPr>
              <w:rPr>
                <w:sz w:val="24"/>
                <w:szCs w:val="24"/>
              </w:rPr>
            </w:pPr>
          </w:p>
          <w:p w:rsidR="006854CC" w:rsidRPr="005707F9" w:rsidRDefault="006854CC" w:rsidP="005707F9">
            <w:pPr>
              <w:rPr>
                <w:sz w:val="24"/>
                <w:szCs w:val="24"/>
              </w:rPr>
            </w:pPr>
            <w:r w:rsidRPr="005707F9">
              <w:rPr>
                <w:sz w:val="24"/>
                <w:szCs w:val="24"/>
              </w:rPr>
              <w:fldChar w:fldCharType="begin">
                <w:ffData>
                  <w:name w:val="Check4"/>
                  <w:enabled/>
                  <w:calcOnExit w:val="0"/>
                  <w:checkBox>
                    <w:sizeAuto/>
                    <w:default w:val="0"/>
                  </w:checkBox>
                </w:ffData>
              </w:fldChar>
            </w:r>
            <w:bookmarkStart w:id="5" w:name="Check4"/>
            <w:r w:rsidRPr="005707F9">
              <w:rPr>
                <w:sz w:val="24"/>
                <w:szCs w:val="24"/>
              </w:rPr>
              <w:instrText xml:space="preserve"> FORMCHECKBOX </w:instrText>
            </w:r>
            <w:r w:rsidRPr="005707F9">
              <w:rPr>
                <w:sz w:val="24"/>
                <w:szCs w:val="24"/>
              </w:rPr>
            </w:r>
            <w:r w:rsidRPr="005707F9">
              <w:rPr>
                <w:sz w:val="24"/>
                <w:szCs w:val="24"/>
              </w:rPr>
              <w:fldChar w:fldCharType="end"/>
            </w:r>
            <w:bookmarkEnd w:id="5"/>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8C181E"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8C181E">
            <w:pPr>
              <w:jc w:val="right"/>
              <w:rPr>
                <w:sz w:val="24"/>
                <w:szCs w:val="24"/>
              </w:rPr>
            </w:pPr>
            <w:r w:rsidRPr="005707F9">
              <w:rPr>
                <w:sz w:val="24"/>
                <w:szCs w:val="24"/>
              </w:rPr>
              <w:t>$</w:t>
            </w:r>
            <w:r w:rsidR="008C181E">
              <w:rPr>
                <w:sz w:val="24"/>
                <w:szCs w:val="24"/>
                <w:u w:val="single"/>
              </w:rPr>
              <w:t>80,000</w:t>
            </w:r>
          </w:p>
        </w:tc>
      </w:tr>
      <w:tr w:rsidR="00D001FF" w:rsidTr="0023193A">
        <w:tc>
          <w:tcPr>
            <w:tcW w:w="10980" w:type="dxa"/>
            <w:gridSpan w:val="5"/>
            <w:tcBorders>
              <w:top w:val="single" w:sz="4" w:space="0" w:color="auto"/>
              <w:left w:val="nil"/>
              <w:bottom w:val="nil"/>
              <w:right w:val="nil"/>
            </w:tcBorders>
          </w:tcPr>
          <w:p w:rsidR="00D001FF" w:rsidRPr="004F1EA0" w:rsidRDefault="00D001FF" w:rsidP="004A2B92">
            <w:pPr>
              <w:jc w:val="center"/>
              <w:rPr>
                <w:b/>
                <w:szCs w:val="24"/>
              </w:rPr>
            </w:pPr>
          </w:p>
        </w:tc>
        <w:tc>
          <w:tcPr>
            <w:tcW w:w="1980" w:type="dxa"/>
            <w:tcBorders>
              <w:top w:val="single" w:sz="4" w:space="0" w:color="auto"/>
              <w:left w:val="nil"/>
              <w:bottom w:val="nil"/>
              <w:right w:val="nil"/>
            </w:tcBorders>
          </w:tcPr>
          <w:p w:rsidR="00D001FF" w:rsidRDefault="00D001FF" w:rsidP="004A2B92">
            <w:pPr>
              <w:jc w:val="center"/>
              <w:rPr>
                <w:rFonts w:asciiTheme="majorHAnsi" w:eastAsia="Times New Roman" w:hAnsiTheme="majorHAnsi" w:cs="Arial"/>
                <w:sz w:val="28"/>
                <w:szCs w:val="28"/>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2</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2</w:t>
            </w:r>
          </w:p>
          <w:p w:rsidR="00D001FF" w:rsidRPr="005707F9" w:rsidRDefault="00D001FF" w:rsidP="00D001FF">
            <w:pPr>
              <w:jc w:val="center"/>
              <w:rPr>
                <w:b/>
                <w:sz w:val="24"/>
                <w:szCs w:val="24"/>
              </w:rPr>
            </w:pPr>
            <w:r w:rsidRPr="005707F9">
              <w:rPr>
                <w:sz w:val="24"/>
                <w:szCs w:val="24"/>
              </w:rPr>
              <w:t>Budget Priority #</w:t>
            </w:r>
            <w:r>
              <w:rPr>
                <w:sz w:val="24"/>
                <w:szCs w:val="24"/>
              </w:rPr>
              <w:t>2</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8C181E">
              <w:rPr>
                <w:sz w:val="24"/>
                <w:szCs w:val="24"/>
              </w:rPr>
              <w:t>Increase success and retention rates in general science courses.</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8C181E"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8C181E"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D001FF" w:rsidRPr="0094250C"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8C181E">
              <w:rPr>
                <w:sz w:val="24"/>
                <w:szCs w:val="24"/>
              </w:rPr>
              <w:t>Review prerequisites to ASTR 100.</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94250C"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8C181E" w:rsidRDefault="00D001FF" w:rsidP="008C181E">
            <w:pPr>
              <w:rPr>
                <w:sz w:val="24"/>
                <w:szCs w:val="24"/>
              </w:rPr>
            </w:pPr>
            <w:r w:rsidRPr="00B30971">
              <w:rPr>
                <w:b/>
                <w:sz w:val="24"/>
                <w:szCs w:val="24"/>
              </w:rPr>
              <w:t>Task(s):</w:t>
            </w:r>
            <w:r w:rsidRPr="00B30971">
              <w:rPr>
                <w:sz w:val="24"/>
                <w:szCs w:val="24"/>
              </w:rPr>
              <w:t xml:space="preserve"> </w:t>
            </w:r>
            <w:r w:rsidR="008C181E">
              <w:rPr>
                <w:sz w:val="24"/>
                <w:szCs w:val="24"/>
              </w:rPr>
              <w:t>1) Find out which other schools have math prerequisites for astronomy classes.</w:t>
            </w:r>
          </w:p>
          <w:p w:rsidR="00D001FF" w:rsidRPr="00B30971" w:rsidRDefault="008C181E" w:rsidP="008C181E">
            <w:pPr>
              <w:rPr>
                <w:sz w:val="24"/>
                <w:szCs w:val="24"/>
              </w:rPr>
            </w:pPr>
            <w:r>
              <w:rPr>
                <w:sz w:val="24"/>
                <w:szCs w:val="24"/>
              </w:rPr>
              <w:t xml:space="preserve">               2) Make changes in curriculum to ASTR 100 to allow for prerequisites.</w:t>
            </w:r>
          </w:p>
        </w:tc>
        <w:tc>
          <w:tcPr>
            <w:tcW w:w="1980" w:type="dxa"/>
            <w:vMerge/>
            <w:tcBorders>
              <w:left w:val="dotted" w:sz="4" w:space="0" w:color="auto"/>
              <w:right w:val="single" w:sz="4" w:space="0" w:color="auto"/>
            </w:tcBorders>
          </w:tcPr>
          <w:p w:rsidR="00D001FF" w:rsidRPr="0094250C"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8C181E">
            <w:pPr>
              <w:rPr>
                <w:sz w:val="24"/>
                <w:szCs w:val="24"/>
              </w:rPr>
            </w:pPr>
            <w:r w:rsidRPr="00B30971">
              <w:rPr>
                <w:b/>
                <w:sz w:val="24"/>
                <w:szCs w:val="24"/>
              </w:rPr>
              <w:t>Timeline:</w:t>
            </w:r>
            <w:r w:rsidRPr="00B30971">
              <w:rPr>
                <w:sz w:val="24"/>
                <w:szCs w:val="24"/>
              </w:rPr>
              <w:t xml:space="preserve"> </w:t>
            </w:r>
            <w:r w:rsidR="008C181E">
              <w:rPr>
                <w:sz w:val="24"/>
                <w:szCs w:val="24"/>
              </w:rPr>
              <w:t>This would expected to be completed within 3 years.</w:t>
            </w:r>
          </w:p>
        </w:tc>
        <w:tc>
          <w:tcPr>
            <w:tcW w:w="1980" w:type="dxa"/>
            <w:vMerge/>
            <w:tcBorders>
              <w:left w:val="dotted" w:sz="4" w:space="0" w:color="auto"/>
              <w:bottom w:val="single" w:sz="4" w:space="0" w:color="auto"/>
              <w:right w:val="single" w:sz="4" w:space="0" w:color="auto"/>
            </w:tcBorders>
          </w:tcPr>
          <w:p w:rsidR="00D001FF" w:rsidRPr="0094250C" w:rsidRDefault="00D001FF" w:rsidP="004A2B92">
            <w:pPr>
              <w:rPr>
                <w:sz w:val="24"/>
                <w:szCs w:val="24"/>
              </w:rPr>
            </w:pPr>
          </w:p>
        </w:tc>
      </w:tr>
      <w:tr w:rsidR="006854CC" w:rsidTr="00EB56B6">
        <w:trPr>
          <w:trHeight w:val="517"/>
        </w:trPr>
        <w:tc>
          <w:tcPr>
            <w:tcW w:w="1980" w:type="dxa"/>
            <w:gridSpan w:val="2"/>
            <w:tcBorders>
              <w:left w:val="single" w:sz="4" w:space="0" w:color="auto"/>
              <w:bottom w:val="single" w:sz="4" w:space="0" w:color="auto"/>
              <w:right w:val="single" w:sz="4" w:space="0" w:color="auto"/>
            </w:tcBorders>
            <w:vAlign w:val="center"/>
          </w:tcPr>
          <w:p w:rsidR="006854CC" w:rsidRPr="00455861" w:rsidRDefault="006854CC" w:rsidP="00EB56B6">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6854CC" w:rsidRPr="00455861" w:rsidRDefault="006854CC" w:rsidP="00EB56B6">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6854CC" w:rsidRPr="00455861" w:rsidRDefault="006854CC" w:rsidP="00EB56B6">
            <w:pPr>
              <w:jc w:val="center"/>
              <w:rPr>
                <w:b/>
                <w:sz w:val="24"/>
                <w:szCs w:val="24"/>
              </w:rPr>
            </w:pPr>
            <w:r w:rsidRPr="00455861">
              <w:rPr>
                <w:b/>
                <w:sz w:val="24"/>
                <w:szCs w:val="24"/>
              </w:rPr>
              <w:t>RESOURCE PLAN</w:t>
            </w:r>
          </w:p>
          <w:p w:rsidR="006854CC" w:rsidRPr="00455861" w:rsidRDefault="006854CC" w:rsidP="00EB56B6">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6854CC" w:rsidRPr="00455861" w:rsidRDefault="006854CC" w:rsidP="00EB56B6">
            <w:pPr>
              <w:jc w:val="center"/>
              <w:rPr>
                <w:b/>
                <w:sz w:val="24"/>
                <w:szCs w:val="24"/>
              </w:rPr>
            </w:pPr>
            <w:r w:rsidRPr="00455861">
              <w:rPr>
                <w:b/>
                <w:sz w:val="24"/>
                <w:szCs w:val="24"/>
              </w:rPr>
              <w:t>BUDGET REQUEST</w:t>
            </w:r>
          </w:p>
        </w:tc>
      </w:tr>
      <w:tr w:rsidR="006854CC" w:rsidTr="00EB56B6">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EB56B6">
            <w:pPr>
              <w:rPr>
                <w:sz w:val="24"/>
                <w:szCs w:val="24"/>
              </w:rPr>
            </w:pPr>
          </w:p>
          <w:p w:rsidR="006854CC" w:rsidRDefault="006854CC" w:rsidP="00EB56B6">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6854CC" w:rsidRPr="005707F9" w:rsidRDefault="006854CC" w:rsidP="00EB56B6">
            <w:pPr>
              <w:rPr>
                <w:sz w:val="24"/>
                <w:szCs w:val="24"/>
              </w:rPr>
            </w:pPr>
          </w:p>
          <w:p w:rsidR="006854CC" w:rsidRPr="005707F9" w:rsidRDefault="006854CC" w:rsidP="00EB56B6">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6854CC" w:rsidRDefault="006854CC" w:rsidP="00EB56B6">
            <w:pPr>
              <w:rPr>
                <w:sz w:val="24"/>
                <w:szCs w:val="24"/>
              </w:rPr>
            </w:pPr>
          </w:p>
          <w:p w:rsidR="006854CC" w:rsidRDefault="006854CC" w:rsidP="00EB56B6">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6854CC" w:rsidRPr="005707F9" w:rsidRDefault="006854CC" w:rsidP="00EB56B6">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6854CC" w:rsidRPr="005707F9" w:rsidRDefault="006854CC" w:rsidP="00EB56B6">
            <w:pPr>
              <w:rPr>
                <w:sz w:val="24"/>
                <w:szCs w:val="24"/>
              </w:rPr>
            </w:pPr>
          </w:p>
          <w:p w:rsidR="006854CC" w:rsidRPr="005707F9" w:rsidRDefault="006854CC" w:rsidP="00EB56B6">
            <w:pPr>
              <w:rPr>
                <w:sz w:val="24"/>
                <w:szCs w:val="24"/>
              </w:rPr>
            </w:pPr>
            <w:r w:rsidRPr="005707F9">
              <w:rPr>
                <w:sz w:val="24"/>
                <w:szCs w:val="24"/>
              </w:rPr>
              <w:fldChar w:fldCharType="begin">
                <w:ffData>
                  <w:name w:val="Check4"/>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EB56B6">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EB56B6">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6854CC" w:rsidP="00EB56B6">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EB56B6">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6854CC" w:rsidP="00EB56B6">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8C181E">
            <w:pPr>
              <w:jc w:val="right"/>
              <w:rPr>
                <w:sz w:val="24"/>
                <w:szCs w:val="24"/>
              </w:rPr>
            </w:pPr>
            <w:r w:rsidRPr="005707F9">
              <w:rPr>
                <w:sz w:val="24"/>
                <w:szCs w:val="24"/>
              </w:rPr>
              <w:t>$</w:t>
            </w:r>
            <w:r w:rsidR="008C181E">
              <w:rPr>
                <w:sz w:val="24"/>
                <w:szCs w:val="24"/>
                <w:u w:val="single"/>
              </w:rPr>
              <w:t>0</w:t>
            </w:r>
          </w:p>
        </w:tc>
      </w:tr>
    </w:tbl>
    <w:p w:rsidR="00F84054" w:rsidRDefault="00F84054">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B30971">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3</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3</w:t>
            </w:r>
          </w:p>
          <w:p w:rsidR="00D001FF" w:rsidRPr="005707F9" w:rsidRDefault="00D001FF" w:rsidP="00D001FF">
            <w:pPr>
              <w:jc w:val="center"/>
              <w:rPr>
                <w:b/>
                <w:sz w:val="24"/>
                <w:szCs w:val="24"/>
              </w:rPr>
            </w:pPr>
            <w:r w:rsidRPr="005707F9">
              <w:rPr>
                <w:sz w:val="24"/>
                <w:szCs w:val="24"/>
              </w:rPr>
              <w:t>Budget Priority #</w:t>
            </w:r>
            <w:r>
              <w:rPr>
                <w:sz w:val="24"/>
                <w:szCs w:val="24"/>
              </w:rPr>
              <w:t>3</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8C181E">
              <w:rPr>
                <w:sz w:val="24"/>
                <w:szCs w:val="24"/>
              </w:rPr>
              <w:t>Consistency in education among multiple sections of the same course.</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8C181E"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D001FF" w:rsidRPr="00B30971"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8C181E">
              <w:rPr>
                <w:sz w:val="24"/>
                <w:szCs w:val="24"/>
              </w:rPr>
              <w:t>Improved coordination and consistency of the level of instruction for the different sections of PHSC 110 taught by the different instructors.</w:t>
            </w:r>
          </w:p>
        </w:tc>
        <w:tc>
          <w:tcPr>
            <w:tcW w:w="1980" w:type="dxa"/>
            <w:vMerge/>
            <w:tcBorders>
              <w:top w:val="single" w:sz="4" w:space="0" w:color="auto"/>
              <w:left w:val="dotted" w:sz="4" w:space="0" w:color="auto"/>
              <w:right w:val="single" w:sz="4" w:space="0" w:color="auto"/>
            </w:tcBorders>
          </w:tcPr>
          <w:p w:rsidR="00D001FF" w:rsidRPr="00B30971"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8C181E" w:rsidRDefault="00D001FF" w:rsidP="008C181E">
            <w:pPr>
              <w:rPr>
                <w:sz w:val="24"/>
                <w:szCs w:val="24"/>
              </w:rPr>
            </w:pPr>
            <w:r w:rsidRPr="00B30971">
              <w:rPr>
                <w:b/>
                <w:sz w:val="24"/>
                <w:szCs w:val="24"/>
              </w:rPr>
              <w:t>Task(s):</w:t>
            </w:r>
            <w:r w:rsidRPr="00B30971">
              <w:rPr>
                <w:sz w:val="24"/>
                <w:szCs w:val="24"/>
              </w:rPr>
              <w:t xml:space="preserve"> </w:t>
            </w:r>
            <w:r w:rsidR="008C181E">
              <w:rPr>
                <w:sz w:val="24"/>
                <w:szCs w:val="24"/>
              </w:rPr>
              <w:t>1) Instructors should share class schedules, assessments, etc. to examine similarities and differences.</w:t>
            </w:r>
          </w:p>
          <w:p w:rsidR="008C181E" w:rsidRDefault="008C181E" w:rsidP="008C181E">
            <w:pPr>
              <w:rPr>
                <w:sz w:val="24"/>
                <w:szCs w:val="24"/>
              </w:rPr>
            </w:pPr>
            <w:r>
              <w:rPr>
                <w:sz w:val="24"/>
                <w:szCs w:val="24"/>
              </w:rPr>
              <w:t xml:space="preserve">               2) Student grade distributions should be examined for different sections to see what differences exist in student success.</w:t>
            </w:r>
          </w:p>
          <w:p w:rsidR="00D001FF" w:rsidRPr="00B30971" w:rsidRDefault="008C181E" w:rsidP="004A2B92">
            <w:pPr>
              <w:rPr>
                <w:sz w:val="24"/>
                <w:szCs w:val="24"/>
              </w:rPr>
            </w:pPr>
            <w:r>
              <w:rPr>
                <w:sz w:val="24"/>
                <w:szCs w:val="24"/>
              </w:rPr>
              <w:t xml:space="preserve">              3) Faculty work together to have more consistently structured classes.</w:t>
            </w:r>
          </w:p>
        </w:tc>
        <w:tc>
          <w:tcPr>
            <w:tcW w:w="1980" w:type="dxa"/>
            <w:vMerge/>
            <w:tcBorders>
              <w:left w:val="dotted" w:sz="4" w:space="0" w:color="auto"/>
              <w:right w:val="single" w:sz="4" w:space="0" w:color="auto"/>
            </w:tcBorders>
          </w:tcPr>
          <w:p w:rsidR="00D001FF" w:rsidRPr="00B30971"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8C181E">
              <w:rPr>
                <w:sz w:val="24"/>
                <w:szCs w:val="24"/>
              </w:rPr>
              <w:t>This would be expected to be completed within 3 years.</w:t>
            </w:r>
          </w:p>
        </w:tc>
        <w:tc>
          <w:tcPr>
            <w:tcW w:w="1980" w:type="dxa"/>
            <w:vMerge/>
            <w:tcBorders>
              <w:left w:val="dotted" w:sz="4" w:space="0" w:color="auto"/>
              <w:bottom w:val="single" w:sz="4" w:space="0" w:color="auto"/>
              <w:right w:val="single" w:sz="4" w:space="0" w:color="auto"/>
            </w:tcBorders>
          </w:tcPr>
          <w:p w:rsidR="00D001FF" w:rsidRPr="00B30971" w:rsidRDefault="00D001FF" w:rsidP="004A2B92">
            <w:pPr>
              <w:rPr>
                <w:sz w:val="24"/>
                <w:szCs w:val="24"/>
              </w:rPr>
            </w:pPr>
          </w:p>
        </w:tc>
      </w:tr>
      <w:tr w:rsidR="00F84054" w:rsidTr="00EB56B6">
        <w:trPr>
          <w:trHeight w:val="517"/>
        </w:trPr>
        <w:tc>
          <w:tcPr>
            <w:tcW w:w="1980" w:type="dxa"/>
            <w:gridSpan w:val="2"/>
            <w:tcBorders>
              <w:left w:val="single" w:sz="4" w:space="0" w:color="auto"/>
              <w:bottom w:val="single" w:sz="4" w:space="0" w:color="auto"/>
              <w:right w:val="single" w:sz="4" w:space="0" w:color="auto"/>
            </w:tcBorders>
            <w:vAlign w:val="center"/>
          </w:tcPr>
          <w:p w:rsidR="00F84054" w:rsidRPr="00455861" w:rsidRDefault="00F84054" w:rsidP="00EB56B6">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F84054" w:rsidRPr="00455861" w:rsidRDefault="00F84054" w:rsidP="00EB56B6">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F84054" w:rsidRPr="00455861" w:rsidRDefault="00F84054" w:rsidP="00EB56B6">
            <w:pPr>
              <w:jc w:val="center"/>
              <w:rPr>
                <w:b/>
                <w:sz w:val="24"/>
                <w:szCs w:val="24"/>
              </w:rPr>
            </w:pPr>
            <w:r w:rsidRPr="00455861">
              <w:rPr>
                <w:b/>
                <w:sz w:val="24"/>
                <w:szCs w:val="24"/>
              </w:rPr>
              <w:t>RESOURCE PLAN</w:t>
            </w:r>
          </w:p>
          <w:p w:rsidR="00F84054" w:rsidRPr="00455861" w:rsidRDefault="00F84054" w:rsidP="00EB56B6">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F84054" w:rsidRPr="00455861" w:rsidRDefault="00F84054" w:rsidP="00EB56B6">
            <w:pPr>
              <w:jc w:val="center"/>
              <w:rPr>
                <w:b/>
                <w:sz w:val="24"/>
                <w:szCs w:val="24"/>
              </w:rPr>
            </w:pPr>
            <w:r w:rsidRPr="00455861">
              <w:rPr>
                <w:b/>
                <w:sz w:val="24"/>
                <w:szCs w:val="24"/>
              </w:rPr>
              <w:t>BUDGET REQUEST</w:t>
            </w:r>
          </w:p>
        </w:tc>
      </w:tr>
      <w:tr w:rsidR="00F84054" w:rsidTr="00EB56B6">
        <w:trPr>
          <w:trHeight w:val="517"/>
        </w:trPr>
        <w:tc>
          <w:tcPr>
            <w:tcW w:w="1980" w:type="dxa"/>
            <w:gridSpan w:val="2"/>
            <w:tcBorders>
              <w:left w:val="single" w:sz="4" w:space="0" w:color="auto"/>
              <w:bottom w:val="single" w:sz="4" w:space="0" w:color="auto"/>
              <w:right w:val="single" w:sz="4" w:space="0" w:color="auto"/>
            </w:tcBorders>
          </w:tcPr>
          <w:p w:rsidR="00F84054" w:rsidRDefault="00F84054" w:rsidP="00EB56B6">
            <w:pPr>
              <w:rPr>
                <w:sz w:val="24"/>
                <w:szCs w:val="24"/>
              </w:rPr>
            </w:pPr>
          </w:p>
          <w:p w:rsidR="00F84054" w:rsidRDefault="00F84054" w:rsidP="00EB56B6">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F84054" w:rsidRPr="005707F9" w:rsidRDefault="00F84054" w:rsidP="00EB56B6">
            <w:pPr>
              <w:rPr>
                <w:sz w:val="24"/>
                <w:szCs w:val="24"/>
              </w:rPr>
            </w:pPr>
          </w:p>
          <w:p w:rsidR="00F84054" w:rsidRPr="005707F9" w:rsidRDefault="00F84054" w:rsidP="00EB56B6">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F84054" w:rsidRDefault="00F84054" w:rsidP="00EB56B6">
            <w:pPr>
              <w:rPr>
                <w:sz w:val="24"/>
                <w:szCs w:val="24"/>
              </w:rPr>
            </w:pPr>
          </w:p>
          <w:p w:rsidR="00F84054" w:rsidRDefault="00F84054" w:rsidP="00EB56B6">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F84054" w:rsidRPr="005707F9" w:rsidRDefault="00F84054" w:rsidP="00EB56B6">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F84054" w:rsidRPr="005707F9" w:rsidRDefault="00F84054" w:rsidP="00EB56B6">
            <w:pPr>
              <w:rPr>
                <w:sz w:val="24"/>
                <w:szCs w:val="24"/>
              </w:rPr>
            </w:pPr>
          </w:p>
          <w:p w:rsidR="00F84054" w:rsidRPr="005707F9" w:rsidRDefault="00F84054" w:rsidP="00EB56B6">
            <w:pPr>
              <w:rPr>
                <w:sz w:val="24"/>
                <w:szCs w:val="24"/>
              </w:rPr>
            </w:pPr>
            <w:r w:rsidRPr="005707F9">
              <w:rPr>
                <w:sz w:val="24"/>
                <w:szCs w:val="24"/>
              </w:rPr>
              <w:fldChar w:fldCharType="begin">
                <w:ffData>
                  <w:name w:val="Check4"/>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F84054" w:rsidRPr="005707F9" w:rsidRDefault="00F84054" w:rsidP="00EB56B6">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F84054" w:rsidRPr="005707F9" w:rsidRDefault="00F84054" w:rsidP="00EB56B6">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F84054" w:rsidRDefault="00F84054" w:rsidP="00EB56B6">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F84054" w:rsidRDefault="00F84054" w:rsidP="00EB56B6">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F84054" w:rsidRPr="005707F9" w:rsidRDefault="00F84054" w:rsidP="00EB56B6">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F84054" w:rsidRPr="005707F9" w:rsidRDefault="00F84054" w:rsidP="008C181E">
            <w:pPr>
              <w:jc w:val="right"/>
              <w:rPr>
                <w:sz w:val="24"/>
                <w:szCs w:val="24"/>
              </w:rPr>
            </w:pPr>
            <w:r w:rsidRPr="005707F9">
              <w:rPr>
                <w:sz w:val="24"/>
                <w:szCs w:val="24"/>
              </w:rPr>
              <w:t>$</w:t>
            </w:r>
            <w:r w:rsidR="008C181E">
              <w:rPr>
                <w:sz w:val="24"/>
                <w:szCs w:val="24"/>
                <w:u w:val="single"/>
              </w:rPr>
              <w:t>0</w:t>
            </w:r>
          </w:p>
        </w:tc>
      </w:tr>
      <w:tr w:rsidR="00F84054" w:rsidTr="005A6C4B">
        <w:tc>
          <w:tcPr>
            <w:tcW w:w="10980" w:type="dxa"/>
            <w:gridSpan w:val="5"/>
            <w:tcBorders>
              <w:top w:val="single" w:sz="4" w:space="0" w:color="auto"/>
              <w:left w:val="nil"/>
              <w:bottom w:val="single" w:sz="4" w:space="0" w:color="auto"/>
              <w:right w:val="nil"/>
            </w:tcBorders>
          </w:tcPr>
          <w:p w:rsidR="00F84054" w:rsidRPr="004F1EA0" w:rsidRDefault="00F84054" w:rsidP="005A6C4B">
            <w:pPr>
              <w:jc w:val="center"/>
              <w:rPr>
                <w:b/>
                <w:szCs w:val="24"/>
              </w:rPr>
            </w:pPr>
          </w:p>
        </w:tc>
        <w:tc>
          <w:tcPr>
            <w:tcW w:w="1980" w:type="dxa"/>
            <w:tcBorders>
              <w:top w:val="single" w:sz="4" w:space="0" w:color="auto"/>
              <w:left w:val="nil"/>
              <w:bottom w:val="single" w:sz="4" w:space="0" w:color="auto"/>
              <w:right w:val="nil"/>
            </w:tcBorders>
          </w:tcPr>
          <w:p w:rsidR="00F84054" w:rsidRDefault="00F84054" w:rsidP="005A6C4B">
            <w:pPr>
              <w:jc w:val="center"/>
              <w:rPr>
                <w:rFonts w:asciiTheme="majorHAnsi" w:eastAsia="Times New Roman" w:hAnsiTheme="majorHAnsi" w:cs="Arial"/>
                <w:sz w:val="28"/>
                <w:szCs w:val="28"/>
                <w:shd w:val="clear" w:color="auto" w:fill="BFBFBF" w:themeFill="background1" w:themeFillShade="BF"/>
              </w:rPr>
            </w:pPr>
          </w:p>
        </w:tc>
      </w:tr>
      <w:tr w:rsidR="00455861" w:rsidTr="005A6C4B">
        <w:tc>
          <w:tcPr>
            <w:tcW w:w="10980" w:type="dxa"/>
            <w:gridSpan w:val="5"/>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b/>
                <w:sz w:val="32"/>
                <w:szCs w:val="32"/>
              </w:rPr>
            </w:pPr>
            <w:r w:rsidRPr="00455861">
              <w:rPr>
                <w:b/>
                <w:sz w:val="32"/>
                <w:szCs w:val="32"/>
              </w:rPr>
              <w:t>TOTAL BUDGET REQUEST</w:t>
            </w:r>
          </w:p>
        </w:tc>
        <w:tc>
          <w:tcPr>
            <w:tcW w:w="1980" w:type="dxa"/>
            <w:tcBorders>
              <w:top w:val="single" w:sz="4" w:space="0" w:color="auto"/>
              <w:left w:val="single" w:sz="4" w:space="0" w:color="auto"/>
              <w:bottom w:val="single" w:sz="4" w:space="0" w:color="auto"/>
              <w:right w:val="single" w:sz="4" w:space="0" w:color="auto"/>
            </w:tcBorders>
          </w:tcPr>
          <w:p w:rsidR="00455861" w:rsidRPr="00455861" w:rsidRDefault="00455861" w:rsidP="008C181E">
            <w:pPr>
              <w:jc w:val="right"/>
              <w:rPr>
                <w:rFonts w:asciiTheme="majorHAnsi" w:eastAsia="Times New Roman" w:hAnsiTheme="majorHAnsi" w:cs="Arial"/>
                <w:sz w:val="32"/>
                <w:szCs w:val="32"/>
                <w:shd w:val="clear" w:color="auto" w:fill="BFBFBF" w:themeFill="background1" w:themeFillShade="BF"/>
              </w:rPr>
            </w:pPr>
            <w:r w:rsidRPr="00455861">
              <w:rPr>
                <w:sz w:val="32"/>
                <w:szCs w:val="32"/>
              </w:rPr>
              <w:t>$</w:t>
            </w:r>
            <w:r w:rsidR="008C181E">
              <w:rPr>
                <w:sz w:val="32"/>
                <w:szCs w:val="32"/>
                <w:u w:val="single"/>
              </w:rPr>
              <w:t>80,000</w:t>
            </w:r>
          </w:p>
        </w:tc>
      </w:tr>
    </w:tbl>
    <w:p w:rsidR="007F00B5" w:rsidRDefault="007F00B5" w:rsidP="008F6DD3">
      <w:pPr>
        <w:spacing w:after="0" w:line="240" w:lineRule="auto"/>
        <w:rPr>
          <w:sz w:val="24"/>
          <w:szCs w:val="24"/>
        </w:rPr>
      </w:pPr>
    </w:p>
    <w:p w:rsidR="00110022" w:rsidRDefault="00597F48" w:rsidP="00B7252F">
      <w:pPr>
        <w:pStyle w:val="ListParagraph"/>
        <w:numPr>
          <w:ilvl w:val="0"/>
          <w:numId w:val="9"/>
        </w:numPr>
        <w:spacing w:after="0" w:line="240" w:lineRule="auto"/>
        <w:ind w:left="1440"/>
        <w:rPr>
          <w:sz w:val="24"/>
          <w:szCs w:val="24"/>
        </w:rPr>
      </w:pPr>
      <w:r>
        <w:rPr>
          <w:sz w:val="24"/>
          <w:szCs w:val="24"/>
        </w:rPr>
        <w:t>How will your enhanced budget request improve student success</w:t>
      </w:r>
      <w:r w:rsidR="00110022" w:rsidRPr="00110022">
        <w:rPr>
          <w:sz w:val="24"/>
          <w:szCs w:val="24"/>
        </w:rPr>
        <w:t>?</w:t>
      </w:r>
      <w:r w:rsidR="005B59C1">
        <w:rPr>
          <w:sz w:val="24"/>
          <w:szCs w:val="24"/>
        </w:rPr>
        <w:t xml:space="preserve"> </w:t>
      </w:r>
    </w:p>
    <w:p w:rsidR="00455861" w:rsidRDefault="00455861" w:rsidP="00B7252F">
      <w:pPr>
        <w:pStyle w:val="ListParagraph"/>
        <w:spacing w:after="0" w:line="240" w:lineRule="auto"/>
        <w:ind w:left="1080" w:firstLine="360"/>
        <w:rPr>
          <w:sz w:val="24"/>
          <w:szCs w:val="24"/>
        </w:rPr>
      </w:pPr>
    </w:p>
    <w:p w:rsidR="00110022" w:rsidRDefault="008C181E" w:rsidP="00B7252F">
      <w:pPr>
        <w:pStyle w:val="ListParagraph"/>
        <w:spacing w:after="0" w:line="240" w:lineRule="auto"/>
        <w:ind w:left="1080" w:firstLine="360"/>
        <w:rPr>
          <w:sz w:val="24"/>
          <w:szCs w:val="24"/>
        </w:rPr>
      </w:pPr>
      <w:r>
        <w:rPr>
          <w:sz w:val="24"/>
          <w:szCs w:val="24"/>
        </w:rPr>
        <w:t>Having another Chemistry instructor will allow students to move through the CHEM 200 and CHEM 202 series easier by offering more sections.  Also, having more sections of these courses will prevent them from conflicting with other math and physics courses that these students would be taking at the same time.</w:t>
      </w:r>
    </w:p>
    <w:p w:rsidR="00597F48" w:rsidRPr="00110022" w:rsidRDefault="00597F48" w:rsidP="00B7252F">
      <w:pPr>
        <w:pStyle w:val="ListParagraph"/>
        <w:spacing w:after="0" w:line="240" w:lineRule="auto"/>
        <w:ind w:left="1080" w:firstLine="360"/>
        <w:rPr>
          <w:sz w:val="24"/>
          <w:szCs w:val="24"/>
        </w:rPr>
      </w:pPr>
    </w:p>
    <w:p w:rsidR="005B59C1" w:rsidRDefault="00BF037A" w:rsidP="005B59C1">
      <w:pPr>
        <w:spacing w:after="0" w:line="240" w:lineRule="auto"/>
        <w:ind w:left="360" w:firstLine="720"/>
        <w:rPr>
          <w:sz w:val="24"/>
          <w:szCs w:val="24"/>
        </w:rPr>
      </w:pPr>
      <w:r w:rsidRPr="001C394F">
        <w:rPr>
          <w:sz w:val="24"/>
          <w:szCs w:val="24"/>
        </w:rPr>
        <w:t xml:space="preserve">Comments: </w:t>
      </w:r>
      <w:bookmarkStart w:id="6" w:name="Text4"/>
      <w:r w:rsidRPr="00D140DE">
        <w:rPr>
          <w:sz w:val="24"/>
          <w:szCs w:val="24"/>
        </w:rPr>
        <w:fldChar w:fldCharType="begin">
          <w:ffData>
            <w:name w:val="Text4"/>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bookmarkEnd w:id="6"/>
      <w:r w:rsidR="005B59C1">
        <w:rPr>
          <w:sz w:val="24"/>
          <w:szCs w:val="24"/>
        </w:rPr>
        <w:br w:type="page"/>
      </w:r>
    </w:p>
    <w:p w:rsidR="007D1955" w:rsidRDefault="0013472B" w:rsidP="0013472B">
      <w:pPr>
        <w:spacing w:after="0" w:line="240" w:lineRule="auto"/>
        <w:rPr>
          <w:b/>
          <w:sz w:val="40"/>
          <w:szCs w:val="40"/>
        </w:rPr>
      </w:pPr>
      <w:r w:rsidRPr="000403F6">
        <w:rPr>
          <w:b/>
          <w:sz w:val="40"/>
          <w:szCs w:val="40"/>
        </w:rPr>
        <w:lastRenderedPageBreak/>
        <w:t>II</w:t>
      </w:r>
      <w:r>
        <w:rPr>
          <w:b/>
          <w:sz w:val="40"/>
          <w:szCs w:val="40"/>
        </w:rPr>
        <w:t>I</w:t>
      </w:r>
      <w:r w:rsidRPr="000403F6">
        <w:rPr>
          <w:b/>
          <w:sz w:val="40"/>
          <w:szCs w:val="40"/>
        </w:rPr>
        <w:t xml:space="preserve">. </w:t>
      </w:r>
      <w:r>
        <w:rPr>
          <w:b/>
          <w:sz w:val="40"/>
          <w:szCs w:val="40"/>
        </w:rPr>
        <w:t xml:space="preserve">INSTITUTIONAL </w:t>
      </w:r>
      <w:r w:rsidR="00D9584C">
        <w:rPr>
          <w:b/>
          <w:sz w:val="40"/>
          <w:szCs w:val="40"/>
        </w:rPr>
        <w:t xml:space="preserve">STUDENT </w:t>
      </w:r>
      <w:r>
        <w:rPr>
          <w:b/>
          <w:sz w:val="40"/>
          <w:szCs w:val="40"/>
        </w:rPr>
        <w:t>LEARNING OUTCOMES (I</w:t>
      </w:r>
      <w:r w:rsidR="00D9584C">
        <w:rPr>
          <w:b/>
          <w:sz w:val="40"/>
          <w:szCs w:val="40"/>
        </w:rPr>
        <w:t>S</w:t>
      </w:r>
      <w:r>
        <w:rPr>
          <w:b/>
          <w:sz w:val="40"/>
          <w:szCs w:val="40"/>
        </w:rPr>
        <w:t>LOs)</w:t>
      </w:r>
    </w:p>
    <w:p w:rsidR="007D1955" w:rsidRPr="00AE5C40" w:rsidRDefault="007D1955" w:rsidP="00266594">
      <w:pPr>
        <w:spacing w:after="0" w:line="240" w:lineRule="auto"/>
        <w:ind w:firstLine="720"/>
        <w:rPr>
          <w:sz w:val="24"/>
          <w:szCs w:val="24"/>
        </w:rPr>
      </w:pPr>
    </w:p>
    <w:tbl>
      <w:tblPr>
        <w:tblStyle w:val="TableGrid"/>
        <w:tblW w:w="5670" w:type="dxa"/>
        <w:tblInd w:w="828" w:type="dxa"/>
        <w:tblLook w:val="04A0" w:firstRow="1" w:lastRow="0" w:firstColumn="1" w:lastColumn="0" w:noHBand="0" w:noVBand="1"/>
      </w:tblPr>
      <w:tblGrid>
        <w:gridCol w:w="1980"/>
        <w:gridCol w:w="3690"/>
      </w:tblGrid>
      <w:tr w:rsidR="007D1955" w:rsidTr="00B30971">
        <w:tc>
          <w:tcPr>
            <w:tcW w:w="1980" w:type="dxa"/>
          </w:tcPr>
          <w:p w:rsidR="007D1955" w:rsidRDefault="007D1955" w:rsidP="006D1FC2">
            <w:pPr>
              <w:jc w:val="center"/>
              <w:rPr>
                <w:b/>
                <w:sz w:val="24"/>
                <w:szCs w:val="24"/>
              </w:rPr>
            </w:pPr>
            <w:r>
              <w:rPr>
                <w:b/>
                <w:sz w:val="32"/>
                <w:szCs w:val="32"/>
              </w:rPr>
              <w:t>I</w:t>
            </w:r>
            <w:r w:rsidR="00D9584C">
              <w:rPr>
                <w:b/>
                <w:sz w:val="32"/>
                <w:szCs w:val="32"/>
              </w:rPr>
              <w:t>S</w:t>
            </w:r>
            <w:r>
              <w:rPr>
                <w:b/>
                <w:sz w:val="32"/>
                <w:szCs w:val="32"/>
              </w:rPr>
              <w:t>LO 1</w:t>
            </w:r>
          </w:p>
        </w:tc>
        <w:tc>
          <w:tcPr>
            <w:tcW w:w="3690" w:type="dxa"/>
            <w:vAlign w:val="center"/>
          </w:tcPr>
          <w:p w:rsidR="007D1955" w:rsidRPr="0094250C" w:rsidRDefault="007D1955" w:rsidP="0013472B">
            <w:pPr>
              <w:jc w:val="center"/>
              <w:rPr>
                <w:sz w:val="24"/>
                <w:szCs w:val="24"/>
              </w:rPr>
            </w:pPr>
            <w:r w:rsidRPr="0094250C">
              <w:rPr>
                <w:sz w:val="24"/>
                <w:szCs w:val="24"/>
              </w:rPr>
              <w:t>COMMUNICATION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2</w:t>
            </w:r>
          </w:p>
        </w:tc>
        <w:tc>
          <w:tcPr>
            <w:tcW w:w="3690" w:type="dxa"/>
            <w:vAlign w:val="center"/>
          </w:tcPr>
          <w:p w:rsidR="007D1955" w:rsidRPr="0094250C" w:rsidRDefault="007D1955" w:rsidP="0013472B">
            <w:pPr>
              <w:jc w:val="center"/>
              <w:rPr>
                <w:sz w:val="24"/>
                <w:szCs w:val="24"/>
              </w:rPr>
            </w:pPr>
            <w:r w:rsidRPr="0094250C">
              <w:rPr>
                <w:sz w:val="24"/>
                <w:szCs w:val="24"/>
              </w:rPr>
              <w:t>CRITICAL THINKING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3</w:t>
            </w:r>
          </w:p>
        </w:tc>
        <w:tc>
          <w:tcPr>
            <w:tcW w:w="3690" w:type="dxa"/>
            <w:vAlign w:val="center"/>
          </w:tcPr>
          <w:p w:rsidR="007D1955" w:rsidRPr="0094250C" w:rsidRDefault="00110022" w:rsidP="0013472B">
            <w:pPr>
              <w:jc w:val="center"/>
              <w:rPr>
                <w:sz w:val="24"/>
                <w:szCs w:val="24"/>
              </w:rPr>
            </w:pPr>
            <w:r w:rsidRPr="0094250C">
              <w:rPr>
                <w:sz w:val="24"/>
                <w:szCs w:val="24"/>
              </w:rPr>
              <w:t>PERSONAL RESPONSIBILITY</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4</w:t>
            </w:r>
          </w:p>
        </w:tc>
        <w:tc>
          <w:tcPr>
            <w:tcW w:w="3690" w:type="dxa"/>
            <w:vAlign w:val="center"/>
          </w:tcPr>
          <w:p w:rsidR="007D1955" w:rsidRPr="0094250C" w:rsidRDefault="007D1955" w:rsidP="0013472B">
            <w:pPr>
              <w:jc w:val="center"/>
              <w:rPr>
                <w:sz w:val="24"/>
                <w:szCs w:val="24"/>
              </w:rPr>
            </w:pPr>
            <w:r w:rsidRPr="0094250C">
              <w:rPr>
                <w:sz w:val="24"/>
                <w:szCs w:val="24"/>
              </w:rPr>
              <w:t>INFORMATION LITERACY</w:t>
            </w:r>
          </w:p>
        </w:tc>
      </w:tr>
      <w:tr w:rsidR="007D1955" w:rsidTr="00B30971">
        <w:tc>
          <w:tcPr>
            <w:tcW w:w="1980" w:type="dxa"/>
          </w:tcPr>
          <w:p w:rsidR="007D1955" w:rsidRPr="001C394F" w:rsidRDefault="007D1955" w:rsidP="007D1955">
            <w:pPr>
              <w:jc w:val="center"/>
              <w:rPr>
                <w:sz w:val="24"/>
                <w:szCs w:val="24"/>
              </w:rPr>
            </w:pPr>
            <w:r>
              <w:rPr>
                <w:b/>
                <w:sz w:val="32"/>
                <w:szCs w:val="32"/>
              </w:rPr>
              <w:t>I</w:t>
            </w:r>
            <w:r w:rsidR="00D9584C">
              <w:rPr>
                <w:b/>
                <w:sz w:val="32"/>
                <w:szCs w:val="32"/>
              </w:rPr>
              <w:t>S</w:t>
            </w:r>
            <w:r>
              <w:rPr>
                <w:b/>
                <w:sz w:val="32"/>
                <w:szCs w:val="32"/>
              </w:rPr>
              <w:t>LO 5</w:t>
            </w:r>
          </w:p>
        </w:tc>
        <w:tc>
          <w:tcPr>
            <w:tcW w:w="3690" w:type="dxa"/>
            <w:vAlign w:val="center"/>
          </w:tcPr>
          <w:p w:rsidR="007D1955" w:rsidRPr="0094250C" w:rsidRDefault="007D1955" w:rsidP="0013472B">
            <w:pPr>
              <w:jc w:val="center"/>
              <w:rPr>
                <w:sz w:val="24"/>
                <w:szCs w:val="24"/>
              </w:rPr>
            </w:pPr>
            <w:r w:rsidRPr="0094250C">
              <w:rPr>
                <w:sz w:val="24"/>
                <w:szCs w:val="24"/>
              </w:rPr>
              <w:t>GLOBAL AWARENESS</w:t>
            </w:r>
          </w:p>
        </w:tc>
      </w:tr>
    </w:tbl>
    <w:p w:rsidR="00AE5C40" w:rsidRDefault="00AE5C40" w:rsidP="00266594">
      <w:pPr>
        <w:spacing w:after="0" w:line="240" w:lineRule="auto"/>
        <w:ind w:firstLine="720"/>
        <w:rPr>
          <w:sz w:val="24"/>
          <w:szCs w:val="24"/>
        </w:rPr>
      </w:pPr>
    </w:p>
    <w:p w:rsidR="00D9584C" w:rsidRPr="00AE5C40" w:rsidRDefault="00D9584C" w:rsidP="00266594">
      <w:pPr>
        <w:spacing w:after="0" w:line="240" w:lineRule="auto"/>
        <w:ind w:firstLine="720"/>
        <w:rPr>
          <w:sz w:val="24"/>
          <w:szCs w:val="24"/>
        </w:rPr>
      </w:pPr>
    </w:p>
    <w:p w:rsidR="00266594" w:rsidRPr="00AE5C40" w:rsidRDefault="0013472B" w:rsidP="00C61A1E">
      <w:pPr>
        <w:rPr>
          <w:sz w:val="24"/>
          <w:szCs w:val="24"/>
        </w:rPr>
      </w:pPr>
      <w:r>
        <w:rPr>
          <w:b/>
          <w:sz w:val="40"/>
          <w:szCs w:val="40"/>
        </w:rPr>
        <w:t>IV</w:t>
      </w:r>
      <w:r w:rsidRPr="000403F6">
        <w:rPr>
          <w:b/>
          <w:sz w:val="40"/>
          <w:szCs w:val="40"/>
        </w:rPr>
        <w:t xml:space="preserve">. PROGRAM </w:t>
      </w:r>
      <w:r>
        <w:rPr>
          <w:b/>
          <w:sz w:val="40"/>
          <w:szCs w:val="40"/>
        </w:rPr>
        <w:t>LEARNING OUTCOMES (PLOs)</w:t>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BA2412" w:rsidRPr="00C61A1E" w:rsidTr="00D9584C">
        <w:trPr>
          <w:trHeight w:val="710"/>
        </w:trPr>
        <w:tc>
          <w:tcPr>
            <w:tcW w:w="10980" w:type="dxa"/>
            <w:gridSpan w:val="4"/>
            <w:vAlign w:val="center"/>
          </w:tcPr>
          <w:p w:rsidR="001C4679" w:rsidRDefault="00B25FA2" w:rsidP="00597F48">
            <w:pPr>
              <w:jc w:val="center"/>
              <w:rPr>
                <w:b/>
                <w:sz w:val="32"/>
                <w:szCs w:val="32"/>
              </w:rPr>
            </w:pPr>
            <w:r w:rsidRPr="00B30971">
              <w:rPr>
                <w:b/>
                <w:sz w:val="32"/>
                <w:szCs w:val="32"/>
              </w:rPr>
              <w:t>PROGRAM LEARNING OUTCOMES</w:t>
            </w:r>
          </w:p>
          <w:p w:rsidR="00BA2412" w:rsidRPr="00B30971" w:rsidRDefault="001C4679" w:rsidP="00597F48">
            <w:pPr>
              <w:jc w:val="center"/>
              <w:rPr>
                <w:sz w:val="32"/>
                <w:szCs w:val="32"/>
              </w:rPr>
            </w:pPr>
            <w:r w:rsidRPr="00D6026F">
              <w:rPr>
                <w:sz w:val="18"/>
                <w:szCs w:val="20"/>
              </w:rPr>
              <w:t>(Describe learning outcomes</w:t>
            </w:r>
            <w:r w:rsidR="001B3E09">
              <w:rPr>
                <w:sz w:val="18"/>
                <w:szCs w:val="20"/>
              </w:rPr>
              <w:t>.</w:t>
            </w:r>
            <w:r w:rsidRPr="00D6026F">
              <w:rPr>
                <w:sz w:val="18"/>
                <w:szCs w:val="20"/>
              </w:rPr>
              <w:t>)</w:t>
            </w:r>
          </w:p>
        </w:tc>
        <w:tc>
          <w:tcPr>
            <w:tcW w:w="2070" w:type="dxa"/>
            <w:vAlign w:val="center"/>
          </w:tcPr>
          <w:p w:rsidR="001C4679" w:rsidRDefault="00BA2412" w:rsidP="00BA2412">
            <w:pPr>
              <w:jc w:val="center"/>
              <w:rPr>
                <w:sz w:val="18"/>
                <w:szCs w:val="20"/>
              </w:rPr>
            </w:pPr>
            <w:r w:rsidRPr="00C61A1E">
              <w:rPr>
                <w:b/>
                <w:szCs w:val="24"/>
              </w:rPr>
              <w:t>I</w:t>
            </w:r>
            <w:r w:rsidR="001C4679">
              <w:rPr>
                <w:b/>
                <w:szCs w:val="24"/>
              </w:rPr>
              <w:t>SLO(</w:t>
            </w:r>
            <w:r w:rsidR="008E6322" w:rsidRPr="00C61A1E">
              <w:rPr>
                <w:b/>
                <w:szCs w:val="24"/>
              </w:rPr>
              <w:t>S)</w:t>
            </w:r>
            <w:r w:rsidR="001C4679" w:rsidRPr="00D6026F">
              <w:rPr>
                <w:sz w:val="18"/>
                <w:szCs w:val="20"/>
              </w:rPr>
              <w:t xml:space="preserve"> </w:t>
            </w:r>
          </w:p>
          <w:p w:rsidR="001C4679" w:rsidRDefault="001B3E09" w:rsidP="00BA2412">
            <w:pPr>
              <w:jc w:val="center"/>
              <w:rPr>
                <w:sz w:val="18"/>
                <w:szCs w:val="20"/>
              </w:rPr>
            </w:pPr>
            <w:r>
              <w:rPr>
                <w:sz w:val="18"/>
                <w:szCs w:val="20"/>
              </w:rPr>
              <w:t>[</w:t>
            </w:r>
            <w:r w:rsidR="001C4679" w:rsidRPr="00D6026F">
              <w:rPr>
                <w:sz w:val="18"/>
                <w:szCs w:val="20"/>
              </w:rPr>
              <w:t xml:space="preserve">Link PLO to </w:t>
            </w:r>
          </w:p>
          <w:p w:rsidR="00BA2412" w:rsidRPr="00C61A1E" w:rsidRDefault="001C4679" w:rsidP="00BA2412">
            <w:pPr>
              <w:jc w:val="center"/>
              <w:rPr>
                <w:szCs w:val="24"/>
              </w:rPr>
            </w:pPr>
            <w:r w:rsidRPr="00D6026F">
              <w:rPr>
                <w:sz w:val="18"/>
                <w:szCs w:val="20"/>
              </w:rPr>
              <w:t>appropriate I</w:t>
            </w:r>
            <w:r>
              <w:rPr>
                <w:sz w:val="18"/>
                <w:szCs w:val="20"/>
              </w:rPr>
              <w:t>S</w:t>
            </w:r>
            <w:r w:rsidRPr="00D6026F">
              <w:rPr>
                <w:sz w:val="18"/>
                <w:szCs w:val="20"/>
              </w:rPr>
              <w:t>LO</w:t>
            </w:r>
            <w:r w:rsidR="005A6C4B">
              <w:rPr>
                <w:sz w:val="18"/>
                <w:szCs w:val="20"/>
              </w:rPr>
              <w:t>(s).</w:t>
            </w:r>
            <w:r w:rsidR="001B3E09">
              <w:rPr>
                <w:sz w:val="18"/>
                <w:szCs w:val="20"/>
              </w:rPr>
              <w:t>]</w:t>
            </w: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#1</w:t>
            </w:r>
          </w:p>
        </w:tc>
        <w:tc>
          <w:tcPr>
            <w:tcW w:w="2070" w:type="dxa"/>
            <w:tcBorders>
              <w:top w:val="single" w:sz="4" w:space="0" w:color="auto"/>
              <w:left w:val="dotted" w:sz="4" w:space="0" w:color="auto"/>
              <w:right w:val="single" w:sz="4" w:space="0" w:color="auto"/>
            </w:tcBorders>
            <w:vAlign w:val="center"/>
          </w:tcPr>
          <w:p w:rsidR="004A2B92" w:rsidRPr="005707F9" w:rsidRDefault="004A2B92" w:rsidP="00B3097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w:t>
            </w:r>
            <w:r w:rsidR="00D9584C">
              <w:rPr>
                <w:b/>
                <w:sz w:val="24"/>
                <w:szCs w:val="24"/>
              </w:rPr>
              <w:t>SLO</w:t>
            </w:r>
            <w:r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6D4F29">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A225B" w:rsidRDefault="004A2B92" w:rsidP="005E6467">
            <w:pPr>
              <w:rPr>
                <w:rFonts w:ascii="Arial" w:hAnsi="Arial" w:cs="Arial"/>
                <w:sz w:val="24"/>
                <w:szCs w:val="24"/>
              </w:rPr>
            </w:pPr>
            <w:r w:rsidRPr="00C15830">
              <w:rPr>
                <w:b/>
                <w:sz w:val="24"/>
                <w:szCs w:val="24"/>
              </w:rPr>
              <w:t xml:space="preserve">Identify Program Outcome: </w:t>
            </w:r>
            <w:r w:rsidR="00CA225B">
              <w:rPr>
                <w:rFonts w:ascii="Arial" w:hAnsi="Arial" w:cs="Arial"/>
                <w:sz w:val="24"/>
                <w:szCs w:val="24"/>
              </w:rPr>
              <w:t>Scientific Reasoning Skills:  Be able to observe repeatable physical interactions, collect data and apply the scientific method to identify their physical origins.</w:t>
            </w:r>
          </w:p>
        </w:tc>
        <w:tc>
          <w:tcPr>
            <w:tcW w:w="2070" w:type="dxa"/>
            <w:vMerge w:val="restart"/>
            <w:tcBorders>
              <w:top w:val="single" w:sz="4" w:space="0" w:color="auto"/>
              <w:left w:val="single" w:sz="4" w:space="0" w:color="auto"/>
              <w:right w:val="single" w:sz="4" w:space="0" w:color="auto"/>
            </w:tcBorders>
          </w:tcPr>
          <w:p w:rsidR="004A2B92" w:rsidRPr="003B17D4" w:rsidRDefault="004A2B92" w:rsidP="00BA2412">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1</w:t>
            </w:r>
          </w:p>
          <w:p w:rsidR="004A2B92" w:rsidRPr="003B17D4" w:rsidRDefault="00CA225B"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2</w:t>
            </w:r>
          </w:p>
          <w:p w:rsidR="004A2B92" w:rsidRPr="003B17D4" w:rsidRDefault="00EB56B6"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3</w:t>
            </w:r>
          </w:p>
          <w:p w:rsidR="004A2B92" w:rsidRPr="003B17D4" w:rsidRDefault="004A2B92" w:rsidP="00BA2412">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4</w:t>
            </w:r>
          </w:p>
          <w:p w:rsidR="004A2B92" w:rsidRPr="00B30971" w:rsidRDefault="004A2B92" w:rsidP="006D4F29">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5</w:t>
            </w:r>
          </w:p>
        </w:tc>
      </w:tr>
      <w:tr w:rsidR="004A2B92" w:rsidTr="001C4679">
        <w:tc>
          <w:tcPr>
            <w:tcW w:w="1169" w:type="dxa"/>
            <w:vMerge/>
            <w:tcBorders>
              <w:left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Measurable Outcome Summary:</w:t>
            </w:r>
            <w:r w:rsidRPr="00C15830">
              <w:rPr>
                <w:sz w:val="24"/>
                <w:szCs w:val="24"/>
              </w:rPr>
              <w:t xml:space="preserve"> </w:t>
            </w:r>
            <w:r w:rsidR="00CA225B">
              <w:rPr>
                <w:sz w:val="24"/>
                <w:szCs w:val="24"/>
              </w:rPr>
              <w:t>In CHEM 202, students were asked 2 lab exam questions on the chemical reaction rates lab.  87% of students answered the first question correctly, and 79% answered the second question correctly.</w:t>
            </w:r>
          </w:p>
        </w:tc>
        <w:tc>
          <w:tcPr>
            <w:tcW w:w="2070" w:type="dxa"/>
            <w:vMerge/>
            <w:tcBorders>
              <w:left w:val="single" w:sz="4" w:space="0" w:color="auto"/>
              <w:right w:val="single" w:sz="4" w:space="0" w:color="auto"/>
            </w:tcBorders>
          </w:tcPr>
          <w:p w:rsidR="004A2B92" w:rsidRDefault="004A2B92" w:rsidP="00BA2412">
            <w:pPr>
              <w:jc w:val="center"/>
              <w:rPr>
                <w:sz w:val="24"/>
                <w:szCs w:val="24"/>
              </w:rPr>
            </w:pPr>
          </w:p>
        </w:tc>
      </w:tr>
      <w:tr w:rsidR="00455861" w:rsidTr="001C4679">
        <w:tc>
          <w:tcPr>
            <w:tcW w:w="1169" w:type="dxa"/>
            <w:vMerge/>
            <w:tcBorders>
              <w:left w:val="single" w:sz="4" w:space="0" w:color="auto"/>
              <w:right w:val="single" w:sz="4" w:space="0" w:color="auto"/>
            </w:tcBorders>
          </w:tcPr>
          <w:p w:rsidR="00455861" w:rsidRPr="008F1519" w:rsidRDefault="00455861" w:rsidP="00BA2412">
            <w:pPr>
              <w:jc w:val="center"/>
              <w:rPr>
                <w:sz w:val="36"/>
                <w:szCs w:val="24"/>
              </w:rPr>
            </w:pPr>
          </w:p>
        </w:tc>
        <w:tc>
          <w:tcPr>
            <w:tcW w:w="3061" w:type="dxa"/>
            <w:tcBorders>
              <w:top w:val="single" w:sz="4" w:space="0" w:color="auto"/>
              <w:left w:val="single" w:sz="4" w:space="0" w:color="auto"/>
              <w:bottom w:val="nil"/>
              <w:right w:val="nil"/>
            </w:tcBorders>
          </w:tcPr>
          <w:p w:rsidR="00455861" w:rsidRPr="005707F9" w:rsidRDefault="00CA225B"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55861">
              <w:rPr>
                <w:sz w:val="24"/>
                <w:szCs w:val="24"/>
              </w:rPr>
              <w:t xml:space="preserve"> </w:t>
            </w:r>
            <w:r w:rsidR="00455861" w:rsidRPr="005707F9">
              <w:rPr>
                <w:sz w:val="24"/>
                <w:szCs w:val="24"/>
              </w:rPr>
              <w:t>Met</w:t>
            </w:r>
          </w:p>
        </w:tc>
        <w:tc>
          <w:tcPr>
            <w:tcW w:w="3468" w:type="dxa"/>
            <w:tcBorders>
              <w:top w:val="single" w:sz="4" w:space="0" w:color="auto"/>
              <w:left w:val="nil"/>
              <w:bottom w:val="nil"/>
              <w:right w:val="nil"/>
            </w:tcBorders>
          </w:tcPr>
          <w:p w:rsidR="00455861" w:rsidRPr="005707F9"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282" w:type="dxa"/>
            <w:tcBorders>
              <w:top w:val="single" w:sz="4" w:space="0" w:color="auto"/>
              <w:left w:val="nil"/>
              <w:bottom w:val="nil"/>
              <w:right w:val="single" w:sz="4" w:space="0" w:color="auto"/>
            </w:tcBorders>
          </w:tcPr>
          <w:p w:rsidR="00455861"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5A6C4B">
            <w:pPr>
              <w:rPr>
                <w:sz w:val="24"/>
                <w:szCs w:val="24"/>
              </w:rPr>
            </w:pPr>
          </w:p>
        </w:tc>
        <w:tc>
          <w:tcPr>
            <w:tcW w:w="2070" w:type="dxa"/>
            <w:vMerge/>
            <w:tcBorders>
              <w:left w:val="single" w:sz="4" w:space="0" w:color="auto"/>
              <w:right w:val="single" w:sz="4" w:space="0" w:color="auto"/>
            </w:tcBorders>
          </w:tcPr>
          <w:p w:rsidR="00455861" w:rsidRDefault="00455861" w:rsidP="00BA241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CA225B">
              <w:rPr>
                <w:sz w:val="24"/>
                <w:szCs w:val="24"/>
              </w:rPr>
              <w:t>Most students understood the concept being tested.</w:t>
            </w:r>
          </w:p>
        </w:tc>
        <w:tc>
          <w:tcPr>
            <w:tcW w:w="2070" w:type="dxa"/>
            <w:vMerge/>
            <w:tcBorders>
              <w:left w:val="single" w:sz="4" w:space="0" w:color="auto"/>
              <w:bottom w:val="single" w:sz="4" w:space="0" w:color="auto"/>
              <w:right w:val="single" w:sz="4" w:space="0" w:color="auto"/>
            </w:tcBorders>
          </w:tcPr>
          <w:p w:rsidR="004A2B92" w:rsidRDefault="004A2B92" w:rsidP="00BA2412">
            <w:pPr>
              <w:rPr>
                <w:sz w:val="24"/>
                <w:szCs w:val="24"/>
              </w:rPr>
            </w:pPr>
          </w:p>
        </w:tc>
      </w:tr>
      <w:tr w:rsidR="004A2B92" w:rsidRPr="005B59C1" w:rsidTr="0023193A">
        <w:tc>
          <w:tcPr>
            <w:tcW w:w="1169" w:type="dxa"/>
            <w:tcBorders>
              <w:top w:val="single" w:sz="4" w:space="0" w:color="auto"/>
              <w:left w:val="nil"/>
              <w:bottom w:val="nil"/>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nil"/>
              <w:right w:val="nil"/>
            </w:tcBorders>
          </w:tcPr>
          <w:p w:rsidR="004A2B92" w:rsidRPr="005B59C1" w:rsidRDefault="004A2B92" w:rsidP="004A2B92">
            <w:pPr>
              <w:rPr>
                <w:b/>
                <w:sz w:val="24"/>
                <w:szCs w:val="24"/>
              </w:rPr>
            </w:pPr>
          </w:p>
        </w:tc>
        <w:tc>
          <w:tcPr>
            <w:tcW w:w="2070" w:type="dxa"/>
            <w:tcBorders>
              <w:top w:val="single" w:sz="4" w:space="0" w:color="auto"/>
              <w:left w:val="nil"/>
              <w:bottom w:val="nil"/>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lastRenderedPageBreak/>
              <w:t>PLO</w:t>
            </w:r>
          </w:p>
          <w:p w:rsidR="004A2B92" w:rsidRPr="00D001FF" w:rsidRDefault="004A2B92" w:rsidP="00C15830">
            <w:pPr>
              <w:jc w:val="center"/>
              <w:rPr>
                <w:b/>
                <w:sz w:val="40"/>
                <w:szCs w:val="40"/>
              </w:rPr>
            </w:pPr>
            <w:r>
              <w:rPr>
                <w:b/>
                <w:sz w:val="40"/>
                <w:szCs w:val="40"/>
              </w:rPr>
              <w:t>2</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#2</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EB56B6" w:rsidRPr="001F7FC0" w:rsidRDefault="004A2B92" w:rsidP="00EB56B6">
            <w:pPr>
              <w:rPr>
                <w:rFonts w:ascii="Arial" w:hAnsi="Arial" w:cs="Arial"/>
                <w:sz w:val="24"/>
                <w:szCs w:val="24"/>
              </w:rPr>
            </w:pPr>
            <w:r w:rsidRPr="00C15830">
              <w:rPr>
                <w:b/>
                <w:sz w:val="24"/>
                <w:szCs w:val="24"/>
              </w:rPr>
              <w:t xml:space="preserve">Identify Program Outcome: </w:t>
            </w:r>
            <w:r w:rsidR="00EB56B6">
              <w:rPr>
                <w:rFonts w:ascii="Arial" w:hAnsi="Arial" w:cs="Arial"/>
                <w:sz w:val="24"/>
                <w:szCs w:val="24"/>
              </w:rPr>
              <w:t>Quantitative Reasoning Skills:  Demonstrate, in a clear and concise manner, how to analyze and solve problems and to evaluate and test the correctness of the proposed solution.</w:t>
            </w:r>
          </w:p>
          <w:p w:rsidR="004A2B92" w:rsidRPr="00C15830" w:rsidRDefault="004A2B92" w:rsidP="004A2B92">
            <w:pPr>
              <w:rPr>
                <w:sz w:val="24"/>
                <w:szCs w:val="24"/>
              </w:rPr>
            </w:pP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1</w:t>
            </w:r>
          </w:p>
          <w:p w:rsidR="003B17D4" w:rsidRPr="003B17D4" w:rsidRDefault="00EB56B6"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3</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4</w:t>
            </w:r>
          </w:p>
          <w:p w:rsidR="004A2B92"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007B5C3A">
              <w:rPr>
                <w:sz w:val="24"/>
                <w:szCs w:val="24"/>
              </w:rPr>
              <w:t>In CHEM 200, students did a 2-day lab on redox reactions and were asked exam questions based on the lab.  Depending on the semester, between 41% and 59% of students answered the questions correctly.</w:t>
            </w: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BA2EC9" w:rsidTr="001C4679">
        <w:tc>
          <w:tcPr>
            <w:tcW w:w="1169" w:type="dxa"/>
            <w:vMerge/>
            <w:tcBorders>
              <w:left w:val="single" w:sz="4" w:space="0" w:color="auto"/>
              <w:right w:val="single" w:sz="4" w:space="0" w:color="auto"/>
            </w:tcBorders>
          </w:tcPr>
          <w:p w:rsidR="00BA2EC9" w:rsidRPr="008F1519" w:rsidRDefault="00BA2EC9" w:rsidP="004A2B92">
            <w:pPr>
              <w:jc w:val="center"/>
              <w:rPr>
                <w:sz w:val="36"/>
                <w:szCs w:val="24"/>
              </w:rPr>
            </w:pPr>
          </w:p>
        </w:tc>
        <w:tc>
          <w:tcPr>
            <w:tcW w:w="3061" w:type="dxa"/>
            <w:tcBorders>
              <w:top w:val="single" w:sz="4" w:space="0" w:color="auto"/>
              <w:left w:val="single" w:sz="4" w:space="0" w:color="auto"/>
              <w:bottom w:val="nil"/>
              <w:right w:val="nil"/>
            </w:tcBorders>
          </w:tcPr>
          <w:p w:rsidR="00BA2EC9" w:rsidRPr="00C15830"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Met</w:t>
            </w:r>
          </w:p>
        </w:tc>
        <w:tc>
          <w:tcPr>
            <w:tcW w:w="3468" w:type="dxa"/>
            <w:tcBorders>
              <w:top w:val="single" w:sz="4" w:space="0" w:color="auto"/>
              <w:left w:val="nil"/>
              <w:bottom w:val="nil"/>
              <w:right w:val="nil"/>
            </w:tcBorders>
          </w:tcPr>
          <w:p w:rsidR="00BA2EC9" w:rsidRPr="00C15830" w:rsidRDefault="007B5C3A"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Partially Met</w:t>
            </w:r>
          </w:p>
        </w:tc>
        <w:tc>
          <w:tcPr>
            <w:tcW w:w="3282" w:type="dxa"/>
            <w:tcBorders>
              <w:top w:val="single" w:sz="4" w:space="0" w:color="auto"/>
              <w:left w:val="nil"/>
              <w:bottom w:val="nil"/>
              <w:right w:val="single" w:sz="4" w:space="0" w:color="auto"/>
            </w:tcBorders>
          </w:tcPr>
          <w:p w:rsidR="00BA2EC9"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Not Met</w:t>
            </w:r>
          </w:p>
          <w:p w:rsidR="001C4679" w:rsidRPr="00C15830" w:rsidRDefault="001C4679" w:rsidP="005A6C4B">
            <w:pPr>
              <w:rPr>
                <w:sz w:val="24"/>
                <w:szCs w:val="24"/>
              </w:rPr>
            </w:pPr>
          </w:p>
        </w:tc>
        <w:tc>
          <w:tcPr>
            <w:tcW w:w="2070" w:type="dxa"/>
            <w:vMerge/>
            <w:tcBorders>
              <w:left w:val="single" w:sz="4" w:space="0" w:color="auto"/>
              <w:right w:val="single" w:sz="4" w:space="0" w:color="auto"/>
            </w:tcBorders>
          </w:tcPr>
          <w:p w:rsidR="00BA2EC9" w:rsidRDefault="00BA2EC9"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7B5C3A">
              <w:rPr>
                <w:sz w:val="24"/>
                <w:szCs w:val="24"/>
              </w:rPr>
              <w:t>Chemistry instructors should discuss why students are not performing well on this topic and come up with ways to increase success on this topic.</w:t>
            </w: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3</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#3</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7B5C3A" w:rsidRDefault="004A2B92" w:rsidP="004A2B92">
            <w:pPr>
              <w:rPr>
                <w:rFonts w:ascii="Arial" w:hAnsi="Arial" w:cs="Arial"/>
                <w:sz w:val="24"/>
                <w:szCs w:val="24"/>
              </w:rPr>
            </w:pPr>
            <w:r w:rsidRPr="00C15830">
              <w:rPr>
                <w:b/>
                <w:sz w:val="24"/>
                <w:szCs w:val="24"/>
              </w:rPr>
              <w:t xml:space="preserve">Identify Program Outcome: </w:t>
            </w:r>
            <w:r w:rsidR="007B5C3A" w:rsidRPr="0058139F">
              <w:rPr>
                <w:rFonts w:ascii="Arial" w:hAnsi="Arial" w:cs="Arial"/>
                <w:sz w:val="24"/>
                <w:szCs w:val="24"/>
              </w:rPr>
              <w:t>Communication and Information Skills:  Demonstrate a proficiency in their oral and written</w:t>
            </w:r>
            <w:r w:rsidR="007B5C3A">
              <w:rPr>
                <w:rFonts w:ascii="Arial" w:hAnsi="Arial" w:cs="Arial"/>
                <w:sz w:val="24"/>
                <w:szCs w:val="24"/>
              </w:rPr>
              <w:t xml:space="preserve"> communications of </w:t>
            </w:r>
            <w:r w:rsidR="007B5C3A" w:rsidRPr="001F7FC0">
              <w:rPr>
                <w:rFonts w:ascii="Arial" w:hAnsi="Arial" w:cs="Arial"/>
                <w:sz w:val="24"/>
                <w:szCs w:val="24"/>
              </w:rPr>
              <w:t>their scientific work and ideas in group and/or laboratory exercises</w:t>
            </w:r>
            <w:r w:rsidR="007B5C3A" w:rsidRPr="001F7FC0">
              <w:rPr>
                <w:rFonts w:cs="Calibri"/>
                <w:sz w:val="24"/>
                <w:szCs w:val="24"/>
              </w:rPr>
              <w:t>.</w:t>
            </w:r>
          </w:p>
        </w:tc>
        <w:tc>
          <w:tcPr>
            <w:tcW w:w="2070" w:type="dxa"/>
            <w:vMerge w:val="restart"/>
            <w:tcBorders>
              <w:top w:val="single" w:sz="4" w:space="0" w:color="auto"/>
              <w:left w:val="single" w:sz="4" w:space="0" w:color="auto"/>
              <w:right w:val="single" w:sz="4" w:space="0" w:color="auto"/>
            </w:tcBorders>
          </w:tcPr>
          <w:p w:rsidR="003B17D4" w:rsidRPr="003B17D4" w:rsidRDefault="007B5C3A"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3</w:t>
            </w:r>
          </w:p>
          <w:p w:rsidR="003B17D4" w:rsidRPr="003B17D4" w:rsidRDefault="007B5C3A"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4</w:t>
            </w:r>
          </w:p>
          <w:p w:rsidR="004A2B92"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BE377E">
            <w:pPr>
              <w:rPr>
                <w:sz w:val="24"/>
                <w:szCs w:val="24"/>
              </w:rPr>
            </w:pPr>
            <w:r w:rsidRPr="00C15830">
              <w:rPr>
                <w:b/>
                <w:sz w:val="24"/>
                <w:szCs w:val="24"/>
              </w:rPr>
              <w:t>Measurable Outcome Summary:</w:t>
            </w:r>
            <w:r w:rsidRPr="00C15830">
              <w:rPr>
                <w:sz w:val="24"/>
                <w:szCs w:val="24"/>
              </w:rPr>
              <w:t xml:space="preserve"> </w:t>
            </w:r>
            <w:r w:rsidR="007460AC">
              <w:rPr>
                <w:sz w:val="24"/>
                <w:szCs w:val="24"/>
              </w:rPr>
              <w:t xml:space="preserve">In CHEM 200, students keep a lab notebook where they record the purpose, theory, procedure, observations, and data for their labs.  They are allowed to use the notebooks during the lab exams, so </w:t>
            </w:r>
            <w:r w:rsidR="00BE377E">
              <w:rPr>
                <w:sz w:val="24"/>
                <w:szCs w:val="24"/>
              </w:rPr>
              <w:t>more carefully</w:t>
            </w:r>
            <w:r w:rsidR="007460AC">
              <w:rPr>
                <w:sz w:val="24"/>
                <w:szCs w:val="24"/>
              </w:rPr>
              <w:t xml:space="preserve"> writing down their observations and data</w:t>
            </w:r>
            <w:r w:rsidR="00BE377E">
              <w:rPr>
                <w:sz w:val="24"/>
                <w:szCs w:val="24"/>
              </w:rPr>
              <w:t xml:space="preserve"> will result in a higher success rate. On average, 75% of questions were answered correctly on lab exams over 5 semesters of data.</w:t>
            </w: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3061" w:type="dxa"/>
            <w:tcBorders>
              <w:top w:val="single" w:sz="4" w:space="0" w:color="auto"/>
              <w:left w:val="single" w:sz="4" w:space="0" w:color="auto"/>
              <w:bottom w:val="nil"/>
              <w:right w:val="nil"/>
            </w:tcBorders>
          </w:tcPr>
          <w:p w:rsidR="004A2B92" w:rsidRPr="00C15830" w:rsidRDefault="00BE377E"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w:t>
            </w:r>
            <w:r w:rsidR="004A2B92" w:rsidRPr="00C15830">
              <w:rPr>
                <w:sz w:val="24"/>
                <w:szCs w:val="24"/>
              </w:rPr>
              <w:t>Met</w:t>
            </w:r>
          </w:p>
        </w:tc>
        <w:tc>
          <w:tcPr>
            <w:tcW w:w="3468" w:type="dxa"/>
            <w:tcBorders>
              <w:top w:val="single" w:sz="4" w:space="0" w:color="auto"/>
              <w:left w:val="nil"/>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Partially Met</w:t>
            </w:r>
          </w:p>
        </w:tc>
        <w:tc>
          <w:tcPr>
            <w:tcW w:w="3282" w:type="dxa"/>
            <w:tcBorders>
              <w:top w:val="single" w:sz="4" w:space="0" w:color="auto"/>
              <w:left w:val="nil"/>
              <w:bottom w:val="nil"/>
              <w:right w:val="single" w:sz="4" w:space="0" w:color="auto"/>
            </w:tcBorders>
          </w:tcPr>
          <w:p w:rsidR="004A2B92"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004A2B92" w:rsidRPr="00C15830">
              <w:rPr>
                <w:sz w:val="24"/>
                <w:szCs w:val="24"/>
              </w:rPr>
              <w:t xml:space="preserve"> Not Met</w:t>
            </w:r>
          </w:p>
          <w:p w:rsidR="001C4679" w:rsidRPr="00C15830" w:rsidRDefault="001C4679" w:rsidP="004A2B92">
            <w:pPr>
              <w:rPr>
                <w:sz w:val="24"/>
                <w:szCs w:val="24"/>
              </w:rPr>
            </w:pPr>
          </w:p>
        </w:tc>
        <w:tc>
          <w:tcPr>
            <w:tcW w:w="2070" w:type="dxa"/>
            <w:vMerge/>
            <w:tcBorders>
              <w:left w:val="single" w:sz="4" w:space="0" w:color="auto"/>
              <w:right w:val="single" w:sz="4" w:space="0" w:color="auto"/>
            </w:tcBorders>
          </w:tcPr>
          <w:p w:rsidR="004A2B92" w:rsidRDefault="004A2B92"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BE377E">
              <w:rPr>
                <w:sz w:val="24"/>
                <w:szCs w:val="24"/>
              </w:rPr>
              <w:t>The high success rate shows that students are demonstrating quality communication skills and information literacy.</w:t>
            </w: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5B59C1" w:rsidRPr="005B59C1" w:rsidTr="00D9584C">
        <w:tc>
          <w:tcPr>
            <w:tcW w:w="1169" w:type="dxa"/>
            <w:tcBorders>
              <w:top w:val="single" w:sz="4" w:space="0" w:color="auto"/>
              <w:left w:val="nil"/>
              <w:bottom w:val="single" w:sz="4" w:space="0" w:color="auto"/>
              <w:right w:val="nil"/>
            </w:tcBorders>
          </w:tcPr>
          <w:p w:rsidR="005B59C1" w:rsidRPr="005B59C1" w:rsidRDefault="005B59C1" w:rsidP="006D4F29">
            <w:pPr>
              <w:jc w:val="center"/>
              <w:rPr>
                <w:b/>
                <w:sz w:val="24"/>
                <w:szCs w:val="24"/>
              </w:rPr>
            </w:pPr>
          </w:p>
        </w:tc>
        <w:tc>
          <w:tcPr>
            <w:tcW w:w="9811" w:type="dxa"/>
            <w:gridSpan w:val="3"/>
            <w:tcBorders>
              <w:top w:val="single" w:sz="4" w:space="0" w:color="auto"/>
              <w:left w:val="nil"/>
              <w:bottom w:val="single" w:sz="4" w:space="0" w:color="auto"/>
              <w:right w:val="nil"/>
            </w:tcBorders>
          </w:tcPr>
          <w:p w:rsidR="005B59C1" w:rsidRPr="005B59C1" w:rsidRDefault="005B59C1" w:rsidP="006D1FC2">
            <w:pPr>
              <w:rPr>
                <w:b/>
                <w:sz w:val="24"/>
                <w:szCs w:val="24"/>
              </w:rPr>
            </w:pPr>
          </w:p>
        </w:tc>
        <w:tc>
          <w:tcPr>
            <w:tcW w:w="2070" w:type="dxa"/>
            <w:tcBorders>
              <w:top w:val="single" w:sz="4" w:space="0" w:color="auto"/>
              <w:left w:val="nil"/>
              <w:bottom w:val="single" w:sz="4" w:space="0" w:color="auto"/>
              <w:right w:val="nil"/>
            </w:tcBorders>
          </w:tcPr>
          <w:p w:rsidR="005B59C1" w:rsidRPr="005B59C1" w:rsidRDefault="005B59C1" w:rsidP="00B7252F">
            <w:pPr>
              <w:jc w:val="center"/>
              <w:rPr>
                <w:rFonts w:asciiTheme="majorHAnsi" w:eastAsia="Times New Roman" w:hAnsiTheme="majorHAnsi" w:cs="Arial"/>
                <w:sz w:val="24"/>
                <w:szCs w:val="24"/>
                <w:shd w:val="clear" w:color="auto" w:fill="BFBFBF" w:themeFill="background1" w:themeFillShade="BF"/>
              </w:rPr>
            </w:pPr>
          </w:p>
        </w:tc>
      </w:tr>
      <w:tr w:rsidR="004519FF" w:rsidRPr="00D6026F" w:rsidTr="00691A49">
        <w:trPr>
          <w:trHeight w:val="134"/>
        </w:trPr>
        <w:tc>
          <w:tcPr>
            <w:tcW w:w="13050" w:type="dxa"/>
            <w:gridSpan w:val="5"/>
            <w:shd w:val="clear" w:color="auto" w:fill="F2F2F2" w:themeFill="background1" w:themeFillShade="F2"/>
            <w:vAlign w:val="center"/>
          </w:tcPr>
          <w:p w:rsidR="004519FF" w:rsidRPr="00B30971" w:rsidRDefault="004D4D45" w:rsidP="00B30971">
            <w:pPr>
              <w:jc w:val="center"/>
              <w:rPr>
                <w:rFonts w:ascii="Arial Black" w:hAnsi="Arial Black"/>
                <w:b/>
                <w:color w:val="C00000"/>
                <w:sz w:val="40"/>
                <w:szCs w:val="40"/>
              </w:rPr>
            </w:pPr>
            <w:r w:rsidRPr="00B30971">
              <w:rPr>
                <w:rFonts w:ascii="Arial Black" w:hAnsi="Arial Black"/>
                <w:b/>
                <w:color w:val="C00000"/>
                <w:sz w:val="40"/>
                <w:szCs w:val="40"/>
              </w:rPr>
              <w:lastRenderedPageBreak/>
              <w:t xml:space="preserve">***** </w:t>
            </w:r>
            <w:r w:rsidR="004519FF" w:rsidRPr="00B30971">
              <w:rPr>
                <w:rFonts w:ascii="Arial Black" w:hAnsi="Arial Black"/>
                <w:b/>
                <w:color w:val="C00000"/>
                <w:sz w:val="40"/>
                <w:szCs w:val="40"/>
              </w:rPr>
              <w:t>ATTACH PLO/SLO GRID *****</w:t>
            </w:r>
          </w:p>
        </w:tc>
      </w:tr>
    </w:tbl>
    <w:p w:rsidR="0013472B" w:rsidRDefault="0013472B" w:rsidP="005B59C1">
      <w:pPr>
        <w:spacing w:after="0" w:line="240" w:lineRule="auto"/>
        <w:rPr>
          <w:b/>
          <w:sz w:val="32"/>
          <w:szCs w:val="32"/>
        </w:rPr>
      </w:pPr>
    </w:p>
    <w:tbl>
      <w:tblPr>
        <w:tblW w:w="10200" w:type="dxa"/>
        <w:tblInd w:w="93" w:type="dxa"/>
        <w:tblLook w:val="04A0" w:firstRow="1" w:lastRow="0" w:firstColumn="1" w:lastColumn="0" w:noHBand="0" w:noVBand="1"/>
      </w:tblPr>
      <w:tblGrid>
        <w:gridCol w:w="1020"/>
        <w:gridCol w:w="920"/>
        <w:gridCol w:w="1680"/>
        <w:gridCol w:w="1160"/>
        <w:gridCol w:w="1160"/>
        <w:gridCol w:w="1160"/>
        <w:gridCol w:w="1160"/>
        <w:gridCol w:w="900"/>
        <w:gridCol w:w="1160"/>
      </w:tblGrid>
      <w:tr w:rsidR="00970B96" w:rsidRPr="00970B96" w:rsidTr="00970B96">
        <w:trPr>
          <w:trHeight w:val="315"/>
        </w:trPr>
        <w:tc>
          <w:tcPr>
            <w:tcW w:w="900" w:type="dxa"/>
            <w:tcBorders>
              <w:top w:val="nil"/>
              <w:left w:val="single" w:sz="4" w:space="0" w:color="auto"/>
              <w:bottom w:val="single" w:sz="12" w:space="0" w:color="auto"/>
              <w:right w:val="single" w:sz="4" w:space="0" w:color="auto"/>
            </w:tcBorders>
            <w:shd w:val="clear" w:color="auto" w:fill="auto"/>
            <w:noWrap/>
            <w:vAlign w:val="bottom"/>
            <w:hideMark/>
          </w:tcPr>
          <w:p w:rsidR="00970B96" w:rsidRPr="00970B96" w:rsidRDefault="00970B96" w:rsidP="00970B96">
            <w:pPr>
              <w:spacing w:after="0" w:line="240" w:lineRule="auto"/>
              <w:jc w:val="center"/>
              <w:rPr>
                <w:rFonts w:ascii="Calibri" w:eastAsia="Times New Roman" w:hAnsi="Calibri" w:cs="Times New Roman"/>
                <w:color w:val="000000"/>
              </w:rPr>
            </w:pPr>
            <w:r w:rsidRPr="00970B96">
              <w:rPr>
                <w:rFonts w:ascii="Calibri" w:eastAsia="Times New Roman" w:hAnsi="Calibri" w:cs="Times New Roman"/>
                <w:color w:val="000000"/>
              </w:rPr>
              <w:t>Course</w:t>
            </w:r>
          </w:p>
        </w:tc>
        <w:tc>
          <w:tcPr>
            <w:tcW w:w="920" w:type="dxa"/>
            <w:tcBorders>
              <w:top w:val="nil"/>
              <w:left w:val="nil"/>
              <w:bottom w:val="single" w:sz="12" w:space="0" w:color="auto"/>
              <w:right w:val="single" w:sz="4" w:space="0" w:color="auto"/>
            </w:tcBorders>
            <w:shd w:val="clear" w:color="auto" w:fill="auto"/>
            <w:noWrap/>
            <w:vAlign w:val="bottom"/>
            <w:hideMark/>
          </w:tcPr>
          <w:p w:rsidR="00970B96" w:rsidRPr="00970B96" w:rsidRDefault="00970B96" w:rsidP="00970B96">
            <w:pPr>
              <w:spacing w:after="0" w:line="240" w:lineRule="auto"/>
              <w:jc w:val="center"/>
              <w:rPr>
                <w:rFonts w:ascii="Calibri" w:eastAsia="Times New Roman" w:hAnsi="Calibri" w:cs="Times New Roman"/>
                <w:color w:val="000000"/>
              </w:rPr>
            </w:pPr>
            <w:r w:rsidRPr="00970B96">
              <w:rPr>
                <w:rFonts w:ascii="Calibri" w:eastAsia="Times New Roman" w:hAnsi="Calibri" w:cs="Times New Roman"/>
                <w:color w:val="000000"/>
              </w:rPr>
              <w:t># Credits</w:t>
            </w:r>
          </w:p>
        </w:tc>
        <w:tc>
          <w:tcPr>
            <w:tcW w:w="1680" w:type="dxa"/>
            <w:tcBorders>
              <w:top w:val="nil"/>
              <w:left w:val="nil"/>
              <w:bottom w:val="single" w:sz="12" w:space="0" w:color="auto"/>
              <w:right w:val="single" w:sz="4" w:space="0" w:color="auto"/>
            </w:tcBorders>
            <w:shd w:val="clear" w:color="auto" w:fill="auto"/>
            <w:noWrap/>
            <w:vAlign w:val="bottom"/>
            <w:hideMark/>
          </w:tcPr>
          <w:p w:rsidR="00970B96" w:rsidRPr="00970B96" w:rsidRDefault="00970B96" w:rsidP="00970B96">
            <w:pPr>
              <w:spacing w:after="0" w:line="240" w:lineRule="auto"/>
              <w:jc w:val="center"/>
              <w:rPr>
                <w:rFonts w:ascii="Calibri" w:eastAsia="Times New Roman" w:hAnsi="Calibri" w:cs="Times New Roman"/>
                <w:color w:val="000000"/>
              </w:rPr>
            </w:pPr>
            <w:r w:rsidRPr="00970B96">
              <w:rPr>
                <w:rFonts w:ascii="Calibri" w:eastAsia="Times New Roman" w:hAnsi="Calibri" w:cs="Times New Roman"/>
                <w:color w:val="000000"/>
              </w:rPr>
              <w:t># SLOs Identified</w:t>
            </w:r>
          </w:p>
        </w:tc>
        <w:tc>
          <w:tcPr>
            <w:tcW w:w="1160" w:type="dxa"/>
            <w:tcBorders>
              <w:top w:val="nil"/>
              <w:left w:val="single" w:sz="12" w:space="0" w:color="auto"/>
              <w:bottom w:val="single" w:sz="12" w:space="0" w:color="auto"/>
              <w:right w:val="single" w:sz="4" w:space="0" w:color="auto"/>
            </w:tcBorders>
            <w:shd w:val="clear" w:color="auto" w:fill="auto"/>
            <w:noWrap/>
            <w:vAlign w:val="bottom"/>
            <w:hideMark/>
          </w:tcPr>
          <w:p w:rsidR="00970B96" w:rsidRPr="00970B96" w:rsidRDefault="00970B96" w:rsidP="00970B96">
            <w:pPr>
              <w:spacing w:after="0" w:line="240" w:lineRule="auto"/>
              <w:jc w:val="center"/>
              <w:rPr>
                <w:rFonts w:ascii="Calibri" w:eastAsia="Times New Roman" w:hAnsi="Calibri" w:cs="Times New Roman"/>
                <w:color w:val="000000"/>
              </w:rPr>
            </w:pPr>
            <w:r w:rsidRPr="00970B96">
              <w:rPr>
                <w:rFonts w:ascii="Calibri" w:eastAsia="Times New Roman" w:hAnsi="Calibri" w:cs="Times New Roman"/>
                <w:color w:val="000000"/>
              </w:rPr>
              <w:t>Fall 2010</w:t>
            </w:r>
          </w:p>
        </w:tc>
        <w:tc>
          <w:tcPr>
            <w:tcW w:w="1160" w:type="dxa"/>
            <w:tcBorders>
              <w:top w:val="nil"/>
              <w:left w:val="nil"/>
              <w:bottom w:val="single" w:sz="12" w:space="0" w:color="auto"/>
              <w:right w:val="single" w:sz="4" w:space="0" w:color="auto"/>
            </w:tcBorders>
            <w:shd w:val="clear" w:color="auto" w:fill="auto"/>
            <w:noWrap/>
            <w:vAlign w:val="bottom"/>
            <w:hideMark/>
          </w:tcPr>
          <w:p w:rsidR="00970B96" w:rsidRPr="00970B96" w:rsidRDefault="00970B96" w:rsidP="00970B96">
            <w:pPr>
              <w:spacing w:after="0" w:line="240" w:lineRule="auto"/>
              <w:jc w:val="center"/>
              <w:rPr>
                <w:rFonts w:ascii="Calibri" w:eastAsia="Times New Roman" w:hAnsi="Calibri" w:cs="Times New Roman"/>
                <w:color w:val="000000"/>
              </w:rPr>
            </w:pPr>
            <w:r w:rsidRPr="00970B96">
              <w:rPr>
                <w:rFonts w:ascii="Calibri" w:eastAsia="Times New Roman" w:hAnsi="Calibri" w:cs="Times New Roman"/>
                <w:color w:val="000000"/>
              </w:rPr>
              <w:t>Spring 2011</w:t>
            </w:r>
          </w:p>
        </w:tc>
        <w:tc>
          <w:tcPr>
            <w:tcW w:w="1160" w:type="dxa"/>
            <w:tcBorders>
              <w:top w:val="nil"/>
              <w:left w:val="nil"/>
              <w:bottom w:val="single" w:sz="12" w:space="0" w:color="auto"/>
              <w:right w:val="single" w:sz="4" w:space="0" w:color="auto"/>
            </w:tcBorders>
            <w:shd w:val="clear" w:color="auto" w:fill="auto"/>
            <w:noWrap/>
            <w:vAlign w:val="bottom"/>
            <w:hideMark/>
          </w:tcPr>
          <w:p w:rsidR="00970B96" w:rsidRPr="00970B96" w:rsidRDefault="00970B96" w:rsidP="00970B96">
            <w:pPr>
              <w:spacing w:after="0" w:line="240" w:lineRule="auto"/>
              <w:jc w:val="center"/>
              <w:rPr>
                <w:rFonts w:ascii="Calibri" w:eastAsia="Times New Roman" w:hAnsi="Calibri" w:cs="Times New Roman"/>
                <w:color w:val="000000"/>
              </w:rPr>
            </w:pPr>
            <w:r w:rsidRPr="00970B96">
              <w:rPr>
                <w:rFonts w:ascii="Calibri" w:eastAsia="Times New Roman" w:hAnsi="Calibri" w:cs="Times New Roman"/>
                <w:color w:val="000000"/>
              </w:rPr>
              <w:t>Fall 2011</w:t>
            </w:r>
          </w:p>
        </w:tc>
        <w:tc>
          <w:tcPr>
            <w:tcW w:w="1160" w:type="dxa"/>
            <w:tcBorders>
              <w:top w:val="nil"/>
              <w:left w:val="nil"/>
              <w:bottom w:val="single" w:sz="12" w:space="0" w:color="auto"/>
              <w:right w:val="single" w:sz="4" w:space="0" w:color="auto"/>
            </w:tcBorders>
            <w:shd w:val="clear" w:color="auto" w:fill="auto"/>
            <w:noWrap/>
            <w:vAlign w:val="bottom"/>
            <w:hideMark/>
          </w:tcPr>
          <w:p w:rsidR="00970B96" w:rsidRPr="00970B96" w:rsidRDefault="00970B96" w:rsidP="00970B96">
            <w:pPr>
              <w:spacing w:after="0" w:line="240" w:lineRule="auto"/>
              <w:jc w:val="center"/>
              <w:rPr>
                <w:rFonts w:ascii="Calibri" w:eastAsia="Times New Roman" w:hAnsi="Calibri" w:cs="Times New Roman"/>
                <w:color w:val="000000"/>
              </w:rPr>
            </w:pPr>
            <w:r w:rsidRPr="00970B96">
              <w:rPr>
                <w:rFonts w:ascii="Calibri" w:eastAsia="Times New Roman" w:hAnsi="Calibri" w:cs="Times New Roman"/>
                <w:color w:val="000000"/>
              </w:rPr>
              <w:t>Spring 2012</w:t>
            </w:r>
          </w:p>
        </w:tc>
        <w:tc>
          <w:tcPr>
            <w:tcW w:w="900" w:type="dxa"/>
            <w:tcBorders>
              <w:top w:val="nil"/>
              <w:left w:val="nil"/>
              <w:bottom w:val="single" w:sz="12" w:space="0" w:color="auto"/>
              <w:right w:val="single" w:sz="4" w:space="0" w:color="auto"/>
            </w:tcBorders>
            <w:shd w:val="clear" w:color="auto" w:fill="auto"/>
            <w:noWrap/>
            <w:vAlign w:val="bottom"/>
            <w:hideMark/>
          </w:tcPr>
          <w:p w:rsidR="00970B96" w:rsidRPr="00970B96" w:rsidRDefault="00970B96" w:rsidP="00970B96">
            <w:pPr>
              <w:spacing w:after="0" w:line="240" w:lineRule="auto"/>
              <w:jc w:val="center"/>
              <w:rPr>
                <w:rFonts w:ascii="Calibri" w:eastAsia="Times New Roman" w:hAnsi="Calibri" w:cs="Times New Roman"/>
                <w:color w:val="000000"/>
              </w:rPr>
            </w:pPr>
            <w:r w:rsidRPr="00970B96">
              <w:rPr>
                <w:rFonts w:ascii="Calibri" w:eastAsia="Times New Roman" w:hAnsi="Calibri" w:cs="Times New Roman"/>
                <w:color w:val="000000"/>
              </w:rPr>
              <w:t>Fall 2012</w:t>
            </w:r>
          </w:p>
        </w:tc>
        <w:tc>
          <w:tcPr>
            <w:tcW w:w="1160" w:type="dxa"/>
            <w:tcBorders>
              <w:top w:val="nil"/>
              <w:left w:val="nil"/>
              <w:bottom w:val="single" w:sz="12" w:space="0" w:color="auto"/>
              <w:right w:val="nil"/>
            </w:tcBorders>
            <w:shd w:val="clear" w:color="auto" w:fill="auto"/>
            <w:noWrap/>
            <w:vAlign w:val="bottom"/>
            <w:hideMark/>
          </w:tcPr>
          <w:p w:rsidR="00970B96" w:rsidRPr="00970B96" w:rsidRDefault="00970B96" w:rsidP="00970B96">
            <w:pPr>
              <w:spacing w:after="0" w:line="240" w:lineRule="auto"/>
              <w:jc w:val="center"/>
              <w:rPr>
                <w:rFonts w:ascii="Calibri" w:eastAsia="Times New Roman" w:hAnsi="Calibri" w:cs="Times New Roman"/>
                <w:color w:val="000000"/>
              </w:rPr>
            </w:pPr>
            <w:r w:rsidRPr="00970B96">
              <w:rPr>
                <w:rFonts w:ascii="Calibri" w:eastAsia="Times New Roman" w:hAnsi="Calibri" w:cs="Times New Roman"/>
                <w:color w:val="000000"/>
              </w:rPr>
              <w:t>Spring 2013</w:t>
            </w:r>
          </w:p>
        </w:tc>
      </w:tr>
      <w:tr w:rsidR="00970B96" w:rsidRPr="00970B96" w:rsidTr="00970B96">
        <w:trPr>
          <w:trHeight w:val="31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70B96" w:rsidRPr="00970B96" w:rsidRDefault="00970B96" w:rsidP="00970B96">
            <w:pPr>
              <w:spacing w:after="0" w:line="240" w:lineRule="auto"/>
              <w:jc w:val="center"/>
              <w:rPr>
                <w:rFonts w:ascii="Calibri" w:eastAsia="Times New Roman" w:hAnsi="Calibri" w:cs="Times New Roman"/>
                <w:color w:val="000000"/>
              </w:rPr>
            </w:pPr>
            <w:r w:rsidRPr="00970B96">
              <w:rPr>
                <w:rFonts w:ascii="Calibri" w:eastAsia="Times New Roman" w:hAnsi="Calibri" w:cs="Times New Roman"/>
                <w:color w:val="000000"/>
              </w:rPr>
              <w:t>ASTR100</w:t>
            </w:r>
          </w:p>
        </w:tc>
        <w:tc>
          <w:tcPr>
            <w:tcW w:w="920" w:type="dxa"/>
            <w:tcBorders>
              <w:top w:val="nil"/>
              <w:left w:val="nil"/>
              <w:bottom w:val="single" w:sz="4" w:space="0" w:color="auto"/>
              <w:right w:val="single" w:sz="4" w:space="0" w:color="auto"/>
            </w:tcBorders>
            <w:shd w:val="clear" w:color="auto" w:fill="auto"/>
            <w:noWrap/>
            <w:vAlign w:val="bottom"/>
            <w:hideMark/>
          </w:tcPr>
          <w:p w:rsidR="00970B96" w:rsidRPr="00970B96" w:rsidRDefault="00970B96" w:rsidP="00970B96">
            <w:pPr>
              <w:spacing w:after="0" w:line="240" w:lineRule="auto"/>
              <w:jc w:val="center"/>
              <w:rPr>
                <w:rFonts w:ascii="Calibri" w:eastAsia="Times New Roman" w:hAnsi="Calibri" w:cs="Times New Roman"/>
                <w:color w:val="000000"/>
              </w:rPr>
            </w:pPr>
            <w:r w:rsidRPr="00970B96">
              <w:rPr>
                <w:rFonts w:ascii="Calibri" w:eastAsia="Times New Roman" w:hAnsi="Calibri" w:cs="Times New Roman"/>
                <w:color w:val="000000"/>
              </w:rPr>
              <w:t>3</w:t>
            </w:r>
          </w:p>
        </w:tc>
        <w:tc>
          <w:tcPr>
            <w:tcW w:w="1680" w:type="dxa"/>
            <w:tcBorders>
              <w:top w:val="nil"/>
              <w:left w:val="nil"/>
              <w:bottom w:val="single" w:sz="4" w:space="0" w:color="auto"/>
              <w:right w:val="single" w:sz="4" w:space="0" w:color="auto"/>
            </w:tcBorders>
            <w:shd w:val="clear" w:color="auto" w:fill="auto"/>
            <w:noWrap/>
            <w:vAlign w:val="bottom"/>
            <w:hideMark/>
          </w:tcPr>
          <w:p w:rsidR="00970B96" w:rsidRPr="00970B96" w:rsidRDefault="00970B96" w:rsidP="00970B96">
            <w:pPr>
              <w:spacing w:after="0" w:line="240" w:lineRule="auto"/>
              <w:jc w:val="center"/>
              <w:rPr>
                <w:rFonts w:ascii="Calibri" w:eastAsia="Times New Roman" w:hAnsi="Calibri" w:cs="Times New Roman"/>
                <w:color w:val="000000"/>
              </w:rPr>
            </w:pPr>
            <w:r w:rsidRPr="00970B96">
              <w:rPr>
                <w:rFonts w:ascii="Calibri" w:eastAsia="Times New Roman" w:hAnsi="Calibri" w:cs="Times New Roman"/>
                <w:color w:val="000000"/>
              </w:rPr>
              <w:t>3</w:t>
            </w:r>
          </w:p>
        </w:tc>
        <w:tc>
          <w:tcPr>
            <w:tcW w:w="116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970B96" w:rsidRPr="00970B96" w:rsidRDefault="00970B96" w:rsidP="00970B96">
            <w:pPr>
              <w:spacing w:after="0" w:line="240" w:lineRule="auto"/>
              <w:jc w:val="center"/>
              <w:rPr>
                <w:rFonts w:ascii="Calibri" w:eastAsia="Times New Roman" w:hAnsi="Calibri" w:cs="Times New Roman"/>
                <w:color w:val="000000"/>
              </w:rPr>
            </w:pPr>
            <w:r w:rsidRPr="00970B96">
              <w:rPr>
                <w:rFonts w:ascii="Calibri" w:eastAsia="Times New Roman" w:hAnsi="Calibri" w:cs="Times New Roman"/>
                <w:color w:val="000000"/>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70B96" w:rsidRPr="00970B96" w:rsidRDefault="00970B96" w:rsidP="00970B96">
            <w:pPr>
              <w:spacing w:after="0" w:line="240" w:lineRule="auto"/>
              <w:jc w:val="center"/>
              <w:rPr>
                <w:rFonts w:ascii="Calibri" w:eastAsia="Times New Roman" w:hAnsi="Calibri" w:cs="Times New Roman"/>
                <w:color w:val="000000"/>
              </w:rPr>
            </w:pPr>
            <w:r w:rsidRPr="00970B96">
              <w:rPr>
                <w:rFonts w:ascii="Calibri" w:eastAsia="Times New Roman" w:hAnsi="Calibri" w:cs="Times New Roman"/>
                <w:color w:val="000000"/>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70B96" w:rsidRPr="00970B96" w:rsidRDefault="00970B96" w:rsidP="00970B96">
            <w:pPr>
              <w:spacing w:after="0" w:line="240" w:lineRule="auto"/>
              <w:jc w:val="center"/>
              <w:rPr>
                <w:rFonts w:ascii="Calibri" w:eastAsia="Times New Roman" w:hAnsi="Calibri" w:cs="Times New Roman"/>
                <w:color w:val="000000"/>
              </w:rPr>
            </w:pPr>
            <w:r w:rsidRPr="00970B96">
              <w:rPr>
                <w:rFonts w:ascii="Calibri" w:eastAsia="Times New Roman" w:hAnsi="Calibri" w:cs="Times New Roman"/>
                <w:color w:val="000000"/>
              </w:rPr>
              <w:t>1</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70B96" w:rsidRPr="00970B96" w:rsidRDefault="00970B96" w:rsidP="00970B96">
            <w:pPr>
              <w:spacing w:after="0" w:line="240" w:lineRule="auto"/>
              <w:jc w:val="center"/>
              <w:rPr>
                <w:rFonts w:ascii="Calibri" w:eastAsia="Times New Roman" w:hAnsi="Calibri" w:cs="Times New Roman"/>
                <w:color w:val="000000"/>
              </w:rPr>
            </w:pPr>
            <w:r w:rsidRPr="00970B96">
              <w:rPr>
                <w:rFonts w:ascii="Calibri" w:eastAsia="Times New Roman" w:hAnsi="Calibri" w:cs="Times New Roman"/>
                <w:color w:val="000000"/>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970B96" w:rsidRPr="00970B96" w:rsidRDefault="00970B96" w:rsidP="00970B96">
            <w:pPr>
              <w:spacing w:after="0" w:line="240" w:lineRule="auto"/>
              <w:jc w:val="center"/>
              <w:rPr>
                <w:rFonts w:ascii="Calibri" w:eastAsia="Times New Roman" w:hAnsi="Calibri" w:cs="Times New Roman"/>
                <w:color w:val="000000"/>
              </w:rPr>
            </w:pPr>
            <w:r w:rsidRPr="00970B96">
              <w:rPr>
                <w:rFonts w:ascii="Calibri" w:eastAsia="Times New Roman" w:hAnsi="Calibri" w:cs="Times New Roman"/>
                <w:color w:val="000000"/>
              </w:rPr>
              <w:t> </w:t>
            </w:r>
          </w:p>
        </w:tc>
        <w:tc>
          <w:tcPr>
            <w:tcW w:w="1160" w:type="dxa"/>
            <w:tcBorders>
              <w:top w:val="single" w:sz="4" w:space="0" w:color="auto"/>
              <w:left w:val="nil"/>
              <w:bottom w:val="single" w:sz="4" w:space="0" w:color="auto"/>
              <w:right w:val="nil"/>
            </w:tcBorders>
            <w:shd w:val="clear" w:color="auto" w:fill="auto"/>
            <w:noWrap/>
            <w:vAlign w:val="bottom"/>
            <w:hideMark/>
          </w:tcPr>
          <w:p w:rsidR="00970B96" w:rsidRPr="00970B96" w:rsidRDefault="00970B96" w:rsidP="00970B96">
            <w:pPr>
              <w:spacing w:after="0" w:line="240" w:lineRule="auto"/>
              <w:jc w:val="center"/>
              <w:rPr>
                <w:rFonts w:ascii="Calibri" w:eastAsia="Times New Roman" w:hAnsi="Calibri" w:cs="Times New Roman"/>
                <w:color w:val="000000"/>
              </w:rPr>
            </w:pPr>
            <w:r w:rsidRPr="00970B96">
              <w:rPr>
                <w:rFonts w:ascii="Calibri" w:eastAsia="Times New Roman" w:hAnsi="Calibri" w:cs="Times New Roman"/>
                <w:color w:val="000000"/>
              </w:rPr>
              <w:t>2</w:t>
            </w:r>
          </w:p>
        </w:tc>
      </w:tr>
      <w:tr w:rsidR="00970B96" w:rsidRPr="00970B96" w:rsidTr="00970B9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70B96" w:rsidRPr="00970B96" w:rsidRDefault="00970B96" w:rsidP="00970B96">
            <w:pPr>
              <w:spacing w:after="0" w:line="240" w:lineRule="auto"/>
              <w:jc w:val="center"/>
              <w:rPr>
                <w:rFonts w:ascii="Calibri" w:eastAsia="Times New Roman" w:hAnsi="Calibri" w:cs="Times New Roman"/>
                <w:color w:val="000000"/>
              </w:rPr>
            </w:pPr>
            <w:r w:rsidRPr="00970B96">
              <w:rPr>
                <w:rFonts w:ascii="Calibri" w:eastAsia="Times New Roman" w:hAnsi="Calibri" w:cs="Times New Roman"/>
                <w:color w:val="000000"/>
              </w:rPr>
              <w:t>PHSC110</w:t>
            </w:r>
          </w:p>
        </w:tc>
        <w:tc>
          <w:tcPr>
            <w:tcW w:w="920" w:type="dxa"/>
            <w:tcBorders>
              <w:top w:val="nil"/>
              <w:left w:val="nil"/>
              <w:bottom w:val="single" w:sz="4" w:space="0" w:color="auto"/>
              <w:right w:val="single" w:sz="4" w:space="0" w:color="auto"/>
            </w:tcBorders>
            <w:shd w:val="clear" w:color="auto" w:fill="auto"/>
            <w:noWrap/>
            <w:vAlign w:val="bottom"/>
            <w:hideMark/>
          </w:tcPr>
          <w:p w:rsidR="00970B96" w:rsidRPr="00970B96" w:rsidRDefault="00970B96" w:rsidP="00970B96">
            <w:pPr>
              <w:spacing w:after="0" w:line="240" w:lineRule="auto"/>
              <w:jc w:val="center"/>
              <w:rPr>
                <w:rFonts w:ascii="Calibri" w:eastAsia="Times New Roman" w:hAnsi="Calibri" w:cs="Times New Roman"/>
                <w:color w:val="000000"/>
              </w:rPr>
            </w:pPr>
            <w:r w:rsidRPr="00970B96">
              <w:rPr>
                <w:rFonts w:ascii="Calibri" w:eastAsia="Times New Roman" w:hAnsi="Calibri" w:cs="Times New Roman"/>
                <w:color w:val="000000"/>
              </w:rPr>
              <w:t>3</w:t>
            </w:r>
          </w:p>
        </w:tc>
        <w:tc>
          <w:tcPr>
            <w:tcW w:w="1680" w:type="dxa"/>
            <w:tcBorders>
              <w:top w:val="nil"/>
              <w:left w:val="nil"/>
              <w:bottom w:val="single" w:sz="4" w:space="0" w:color="auto"/>
              <w:right w:val="single" w:sz="4" w:space="0" w:color="auto"/>
            </w:tcBorders>
            <w:shd w:val="clear" w:color="auto" w:fill="auto"/>
            <w:noWrap/>
            <w:vAlign w:val="bottom"/>
            <w:hideMark/>
          </w:tcPr>
          <w:p w:rsidR="00970B96" w:rsidRPr="00970B96" w:rsidRDefault="00970B96" w:rsidP="00970B96">
            <w:pPr>
              <w:spacing w:after="0" w:line="240" w:lineRule="auto"/>
              <w:jc w:val="center"/>
              <w:rPr>
                <w:rFonts w:ascii="Calibri" w:eastAsia="Times New Roman" w:hAnsi="Calibri" w:cs="Times New Roman"/>
                <w:color w:val="000000"/>
              </w:rPr>
            </w:pPr>
            <w:r w:rsidRPr="00970B96">
              <w:rPr>
                <w:rFonts w:ascii="Calibri" w:eastAsia="Times New Roman" w:hAnsi="Calibri" w:cs="Times New Roman"/>
                <w:color w:val="000000"/>
              </w:rPr>
              <w:t>3</w:t>
            </w:r>
          </w:p>
        </w:tc>
        <w:tc>
          <w:tcPr>
            <w:tcW w:w="1160" w:type="dxa"/>
            <w:tcBorders>
              <w:top w:val="nil"/>
              <w:left w:val="single" w:sz="12" w:space="0" w:color="auto"/>
              <w:bottom w:val="single" w:sz="4" w:space="0" w:color="auto"/>
              <w:right w:val="single" w:sz="4" w:space="0" w:color="auto"/>
            </w:tcBorders>
            <w:shd w:val="clear" w:color="auto" w:fill="auto"/>
            <w:noWrap/>
            <w:vAlign w:val="bottom"/>
            <w:hideMark/>
          </w:tcPr>
          <w:p w:rsidR="00970B96" w:rsidRPr="00970B96" w:rsidRDefault="00970B96" w:rsidP="00970B96">
            <w:pPr>
              <w:spacing w:after="0" w:line="240" w:lineRule="auto"/>
              <w:jc w:val="center"/>
              <w:rPr>
                <w:rFonts w:ascii="Calibri" w:eastAsia="Times New Roman" w:hAnsi="Calibri" w:cs="Times New Roman"/>
                <w:color w:val="000000"/>
              </w:rPr>
            </w:pPr>
            <w:r w:rsidRPr="00970B96">
              <w:rPr>
                <w:rFonts w:ascii="Calibri" w:eastAsia="Times New Roman" w:hAnsi="Calibri" w:cs="Times New Roman"/>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rsidR="00970B96" w:rsidRPr="00970B96" w:rsidRDefault="00970B96" w:rsidP="00970B96">
            <w:pPr>
              <w:spacing w:after="0" w:line="240" w:lineRule="auto"/>
              <w:jc w:val="center"/>
              <w:rPr>
                <w:rFonts w:ascii="Calibri" w:eastAsia="Times New Roman" w:hAnsi="Calibri" w:cs="Times New Roman"/>
                <w:color w:val="000000"/>
              </w:rPr>
            </w:pPr>
            <w:r w:rsidRPr="00970B96">
              <w:rPr>
                <w:rFonts w:ascii="Calibri" w:eastAsia="Times New Roman" w:hAnsi="Calibri" w:cs="Times New Roman"/>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rsidR="00970B96" w:rsidRPr="00970B96" w:rsidRDefault="00970B96" w:rsidP="00970B96">
            <w:pPr>
              <w:spacing w:after="0" w:line="240" w:lineRule="auto"/>
              <w:jc w:val="center"/>
              <w:rPr>
                <w:rFonts w:ascii="Calibri" w:eastAsia="Times New Roman" w:hAnsi="Calibri" w:cs="Times New Roman"/>
                <w:color w:val="000000"/>
              </w:rPr>
            </w:pPr>
            <w:r w:rsidRPr="00970B96">
              <w:rPr>
                <w:rFonts w:ascii="Calibri" w:eastAsia="Times New Roman" w:hAnsi="Calibri" w:cs="Times New Roman"/>
                <w:color w:val="000000"/>
              </w:rPr>
              <w:t>2</w:t>
            </w:r>
          </w:p>
        </w:tc>
        <w:tc>
          <w:tcPr>
            <w:tcW w:w="1160" w:type="dxa"/>
            <w:tcBorders>
              <w:top w:val="nil"/>
              <w:left w:val="nil"/>
              <w:bottom w:val="single" w:sz="4" w:space="0" w:color="auto"/>
              <w:right w:val="single" w:sz="4" w:space="0" w:color="auto"/>
            </w:tcBorders>
            <w:shd w:val="clear" w:color="auto" w:fill="auto"/>
            <w:noWrap/>
            <w:vAlign w:val="bottom"/>
            <w:hideMark/>
          </w:tcPr>
          <w:p w:rsidR="00970B96" w:rsidRPr="00970B96" w:rsidRDefault="00970B96" w:rsidP="00970B96">
            <w:pPr>
              <w:spacing w:after="0" w:line="240" w:lineRule="auto"/>
              <w:jc w:val="center"/>
              <w:rPr>
                <w:rFonts w:ascii="Calibri" w:eastAsia="Times New Roman" w:hAnsi="Calibri" w:cs="Times New Roman"/>
                <w:color w:val="000000"/>
              </w:rPr>
            </w:pPr>
            <w:r w:rsidRPr="00970B96">
              <w:rPr>
                <w:rFonts w:ascii="Calibri" w:eastAsia="Times New Roman" w:hAnsi="Calibri"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970B96" w:rsidRPr="00970B96" w:rsidRDefault="00970B96" w:rsidP="00970B96">
            <w:pPr>
              <w:spacing w:after="0" w:line="240" w:lineRule="auto"/>
              <w:jc w:val="center"/>
              <w:rPr>
                <w:rFonts w:ascii="Calibri" w:eastAsia="Times New Roman" w:hAnsi="Calibri" w:cs="Times New Roman"/>
                <w:color w:val="000000"/>
              </w:rPr>
            </w:pPr>
            <w:r w:rsidRPr="00970B96">
              <w:rPr>
                <w:rFonts w:ascii="Calibri" w:eastAsia="Times New Roman" w:hAnsi="Calibri" w:cs="Times New Roman"/>
                <w:color w:val="000000"/>
              </w:rPr>
              <w:t> </w:t>
            </w:r>
          </w:p>
        </w:tc>
        <w:tc>
          <w:tcPr>
            <w:tcW w:w="1160" w:type="dxa"/>
            <w:tcBorders>
              <w:top w:val="nil"/>
              <w:left w:val="nil"/>
              <w:bottom w:val="single" w:sz="4" w:space="0" w:color="auto"/>
              <w:right w:val="nil"/>
            </w:tcBorders>
            <w:shd w:val="clear" w:color="auto" w:fill="auto"/>
            <w:noWrap/>
            <w:vAlign w:val="bottom"/>
            <w:hideMark/>
          </w:tcPr>
          <w:p w:rsidR="00970B96" w:rsidRPr="00970B96" w:rsidRDefault="00970B96" w:rsidP="00970B96">
            <w:pPr>
              <w:spacing w:after="0" w:line="240" w:lineRule="auto"/>
              <w:jc w:val="center"/>
              <w:rPr>
                <w:rFonts w:ascii="Calibri" w:eastAsia="Times New Roman" w:hAnsi="Calibri" w:cs="Times New Roman"/>
                <w:color w:val="000000"/>
              </w:rPr>
            </w:pPr>
            <w:r w:rsidRPr="00970B96">
              <w:rPr>
                <w:rFonts w:ascii="Calibri" w:eastAsia="Times New Roman" w:hAnsi="Calibri" w:cs="Times New Roman"/>
                <w:color w:val="000000"/>
              </w:rPr>
              <w:t>3</w:t>
            </w:r>
          </w:p>
        </w:tc>
      </w:tr>
      <w:tr w:rsidR="00970B96" w:rsidRPr="00970B96" w:rsidTr="00970B96">
        <w:trPr>
          <w:trHeight w:val="300"/>
        </w:trPr>
        <w:tc>
          <w:tcPr>
            <w:tcW w:w="900" w:type="dxa"/>
            <w:tcBorders>
              <w:top w:val="nil"/>
              <w:left w:val="nil"/>
              <w:bottom w:val="nil"/>
              <w:right w:val="nil"/>
            </w:tcBorders>
            <w:shd w:val="clear" w:color="auto" w:fill="auto"/>
            <w:noWrap/>
            <w:vAlign w:val="bottom"/>
            <w:hideMark/>
          </w:tcPr>
          <w:p w:rsidR="00970B96" w:rsidRPr="00970B96" w:rsidRDefault="00970B96" w:rsidP="00970B96">
            <w:pPr>
              <w:spacing w:after="0" w:line="240" w:lineRule="auto"/>
              <w:rPr>
                <w:rFonts w:ascii="Calibri" w:eastAsia="Times New Roman" w:hAnsi="Calibri" w:cs="Times New Roman"/>
                <w:color w:val="000000"/>
              </w:rPr>
            </w:pPr>
          </w:p>
        </w:tc>
        <w:tc>
          <w:tcPr>
            <w:tcW w:w="920" w:type="dxa"/>
            <w:tcBorders>
              <w:top w:val="nil"/>
              <w:left w:val="nil"/>
              <w:bottom w:val="nil"/>
              <w:right w:val="nil"/>
            </w:tcBorders>
            <w:shd w:val="clear" w:color="auto" w:fill="auto"/>
            <w:noWrap/>
            <w:vAlign w:val="bottom"/>
            <w:hideMark/>
          </w:tcPr>
          <w:p w:rsidR="00970B96" w:rsidRPr="00970B96" w:rsidRDefault="00970B96" w:rsidP="00970B96">
            <w:pPr>
              <w:spacing w:after="0" w:line="240" w:lineRule="auto"/>
              <w:rPr>
                <w:rFonts w:ascii="Calibri" w:eastAsia="Times New Roman" w:hAnsi="Calibri" w:cs="Times New Roman"/>
                <w:color w:val="000000"/>
              </w:rPr>
            </w:pPr>
          </w:p>
        </w:tc>
        <w:tc>
          <w:tcPr>
            <w:tcW w:w="1680" w:type="dxa"/>
            <w:tcBorders>
              <w:top w:val="nil"/>
              <w:left w:val="nil"/>
              <w:bottom w:val="nil"/>
              <w:right w:val="nil"/>
            </w:tcBorders>
            <w:shd w:val="clear" w:color="auto" w:fill="auto"/>
            <w:noWrap/>
            <w:vAlign w:val="bottom"/>
            <w:hideMark/>
          </w:tcPr>
          <w:p w:rsidR="00970B96" w:rsidRPr="00970B96" w:rsidRDefault="00970B96" w:rsidP="00970B96">
            <w:pPr>
              <w:spacing w:after="0" w:line="240" w:lineRule="auto"/>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970B96" w:rsidRPr="00970B96" w:rsidRDefault="00970B96" w:rsidP="00970B96">
            <w:pPr>
              <w:spacing w:after="0" w:line="240" w:lineRule="auto"/>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970B96" w:rsidRPr="00970B96" w:rsidRDefault="00970B96" w:rsidP="00970B96">
            <w:pPr>
              <w:spacing w:after="0" w:line="240" w:lineRule="auto"/>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970B96" w:rsidRPr="00970B96" w:rsidRDefault="00970B96" w:rsidP="00970B96">
            <w:pPr>
              <w:spacing w:after="0" w:line="240" w:lineRule="auto"/>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970B96" w:rsidRPr="00970B96" w:rsidRDefault="00970B96" w:rsidP="00970B96">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970B96" w:rsidRPr="00970B96" w:rsidRDefault="00970B96" w:rsidP="00970B96">
            <w:pPr>
              <w:spacing w:after="0" w:line="240" w:lineRule="auto"/>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970B96" w:rsidRPr="00970B96" w:rsidRDefault="00970B96" w:rsidP="00970B96">
            <w:pPr>
              <w:spacing w:after="0" w:line="240" w:lineRule="auto"/>
              <w:rPr>
                <w:rFonts w:ascii="Calibri" w:eastAsia="Times New Roman" w:hAnsi="Calibri" w:cs="Times New Roman"/>
                <w:color w:val="000000"/>
              </w:rPr>
            </w:pPr>
          </w:p>
        </w:tc>
      </w:tr>
      <w:tr w:rsidR="00970B96" w:rsidRPr="00970B96" w:rsidTr="00970B96">
        <w:trPr>
          <w:trHeight w:val="300"/>
        </w:trPr>
        <w:tc>
          <w:tcPr>
            <w:tcW w:w="900" w:type="dxa"/>
            <w:tcBorders>
              <w:top w:val="nil"/>
              <w:left w:val="nil"/>
              <w:bottom w:val="nil"/>
              <w:right w:val="nil"/>
            </w:tcBorders>
            <w:shd w:val="clear" w:color="auto" w:fill="auto"/>
            <w:noWrap/>
            <w:vAlign w:val="bottom"/>
            <w:hideMark/>
          </w:tcPr>
          <w:p w:rsidR="00970B96" w:rsidRPr="00970B96" w:rsidRDefault="00970B96" w:rsidP="00970B96">
            <w:pPr>
              <w:spacing w:after="0" w:line="240" w:lineRule="auto"/>
              <w:rPr>
                <w:rFonts w:ascii="Calibri" w:eastAsia="Times New Roman" w:hAnsi="Calibri" w:cs="Times New Roman"/>
                <w:color w:val="000000"/>
              </w:rPr>
            </w:pPr>
          </w:p>
        </w:tc>
        <w:tc>
          <w:tcPr>
            <w:tcW w:w="920" w:type="dxa"/>
            <w:tcBorders>
              <w:top w:val="nil"/>
              <w:left w:val="nil"/>
              <w:bottom w:val="nil"/>
              <w:right w:val="nil"/>
            </w:tcBorders>
            <w:shd w:val="clear" w:color="auto" w:fill="auto"/>
            <w:noWrap/>
            <w:vAlign w:val="bottom"/>
            <w:hideMark/>
          </w:tcPr>
          <w:p w:rsidR="00970B96" w:rsidRPr="00970B96" w:rsidRDefault="00970B96" w:rsidP="00970B96">
            <w:pPr>
              <w:spacing w:after="0" w:line="240" w:lineRule="auto"/>
              <w:rPr>
                <w:rFonts w:ascii="Calibri" w:eastAsia="Times New Roman" w:hAnsi="Calibri" w:cs="Times New Roman"/>
                <w:color w:val="000000"/>
              </w:rPr>
            </w:pPr>
          </w:p>
        </w:tc>
        <w:tc>
          <w:tcPr>
            <w:tcW w:w="1680" w:type="dxa"/>
            <w:tcBorders>
              <w:top w:val="nil"/>
              <w:left w:val="nil"/>
              <w:bottom w:val="nil"/>
              <w:right w:val="nil"/>
            </w:tcBorders>
            <w:shd w:val="clear" w:color="auto" w:fill="auto"/>
            <w:noWrap/>
            <w:vAlign w:val="bottom"/>
            <w:hideMark/>
          </w:tcPr>
          <w:p w:rsidR="00970B96" w:rsidRPr="00970B96" w:rsidRDefault="00970B96" w:rsidP="00970B96">
            <w:pPr>
              <w:spacing w:after="0" w:line="240" w:lineRule="auto"/>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970B96" w:rsidRPr="00970B96" w:rsidRDefault="00970B96" w:rsidP="00970B96">
            <w:pPr>
              <w:spacing w:after="0" w:line="240" w:lineRule="auto"/>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970B96" w:rsidRPr="00970B96" w:rsidRDefault="00970B96" w:rsidP="00970B96">
            <w:pPr>
              <w:spacing w:after="0" w:line="240" w:lineRule="auto"/>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970B96" w:rsidRPr="00970B96" w:rsidRDefault="00970B96" w:rsidP="00970B96">
            <w:pPr>
              <w:spacing w:after="0" w:line="240" w:lineRule="auto"/>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970B96" w:rsidRPr="00970B96" w:rsidRDefault="00970B96" w:rsidP="00970B96">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970B96" w:rsidRPr="00970B96" w:rsidRDefault="00970B96" w:rsidP="00970B96">
            <w:pPr>
              <w:spacing w:after="0" w:line="240" w:lineRule="auto"/>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970B96" w:rsidRPr="00970B96" w:rsidRDefault="00970B96" w:rsidP="00970B96">
            <w:pPr>
              <w:spacing w:after="0" w:line="240" w:lineRule="auto"/>
              <w:rPr>
                <w:rFonts w:ascii="Calibri" w:eastAsia="Times New Roman" w:hAnsi="Calibri" w:cs="Times New Roman"/>
                <w:color w:val="000000"/>
              </w:rPr>
            </w:pPr>
          </w:p>
        </w:tc>
      </w:tr>
      <w:tr w:rsidR="00970B96" w:rsidRPr="00970B96" w:rsidTr="00970B96">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0B96" w:rsidRPr="00970B96" w:rsidRDefault="00970B96" w:rsidP="00970B96">
            <w:pPr>
              <w:spacing w:after="0" w:line="240" w:lineRule="auto"/>
              <w:jc w:val="center"/>
              <w:rPr>
                <w:rFonts w:ascii="Calibri" w:eastAsia="Times New Roman" w:hAnsi="Calibri" w:cs="Times New Roman"/>
                <w:color w:val="000000"/>
              </w:rPr>
            </w:pPr>
            <w:r w:rsidRPr="00970B96">
              <w:rPr>
                <w:rFonts w:ascii="Calibri" w:eastAsia="Times New Roman" w:hAnsi="Calibri" w:cs="Times New Roman"/>
                <w:color w:val="000000"/>
              </w:rPr>
              <w:t>Program</w:t>
            </w:r>
          </w:p>
        </w:tc>
        <w:tc>
          <w:tcPr>
            <w:tcW w:w="920" w:type="dxa"/>
            <w:tcBorders>
              <w:top w:val="single" w:sz="4" w:space="0" w:color="auto"/>
              <w:left w:val="nil"/>
              <w:bottom w:val="single" w:sz="4" w:space="0" w:color="auto"/>
              <w:right w:val="single" w:sz="12" w:space="0" w:color="auto"/>
            </w:tcBorders>
            <w:shd w:val="clear" w:color="auto" w:fill="auto"/>
            <w:noWrap/>
            <w:vAlign w:val="bottom"/>
            <w:hideMark/>
          </w:tcPr>
          <w:p w:rsidR="00970B96" w:rsidRPr="00970B96" w:rsidRDefault="00970B96" w:rsidP="00970B96">
            <w:pPr>
              <w:spacing w:after="0" w:line="240" w:lineRule="auto"/>
              <w:jc w:val="center"/>
              <w:rPr>
                <w:rFonts w:ascii="Calibri" w:eastAsia="Times New Roman" w:hAnsi="Calibri" w:cs="Times New Roman"/>
                <w:color w:val="000000"/>
              </w:rPr>
            </w:pPr>
            <w:r w:rsidRPr="00970B96">
              <w:rPr>
                <w:rFonts w:ascii="Calibri" w:eastAsia="Times New Roman" w:hAnsi="Calibri" w:cs="Times New Roman"/>
                <w:color w:val="000000"/>
              </w:rPr>
              <w:t># PLOs</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970B96" w:rsidRPr="00970B96" w:rsidRDefault="00970B96" w:rsidP="00970B96">
            <w:pPr>
              <w:spacing w:after="0" w:line="240" w:lineRule="auto"/>
              <w:jc w:val="center"/>
              <w:rPr>
                <w:rFonts w:ascii="Calibri" w:eastAsia="Times New Roman" w:hAnsi="Calibri" w:cs="Times New Roman"/>
                <w:color w:val="000000"/>
              </w:rPr>
            </w:pPr>
            <w:r w:rsidRPr="00970B96">
              <w:rPr>
                <w:rFonts w:ascii="Calibri" w:eastAsia="Times New Roman" w:hAnsi="Calibri" w:cs="Times New Roman"/>
                <w:color w:val="000000"/>
              </w:rPr>
              <w:t>Spring 2012</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70B96" w:rsidRPr="00970B96" w:rsidRDefault="00970B96" w:rsidP="00970B96">
            <w:pPr>
              <w:spacing w:after="0" w:line="240" w:lineRule="auto"/>
              <w:jc w:val="center"/>
              <w:rPr>
                <w:rFonts w:ascii="Calibri" w:eastAsia="Times New Roman" w:hAnsi="Calibri" w:cs="Times New Roman"/>
                <w:color w:val="000000"/>
              </w:rPr>
            </w:pPr>
            <w:r w:rsidRPr="00970B96">
              <w:rPr>
                <w:rFonts w:ascii="Calibri" w:eastAsia="Times New Roman" w:hAnsi="Calibri" w:cs="Times New Roman"/>
                <w:color w:val="000000"/>
              </w:rPr>
              <w:t>Fall 2012</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70B96" w:rsidRPr="00970B96" w:rsidRDefault="00970B96" w:rsidP="00970B96">
            <w:pPr>
              <w:spacing w:after="0" w:line="240" w:lineRule="auto"/>
              <w:jc w:val="center"/>
              <w:rPr>
                <w:rFonts w:ascii="Calibri" w:eastAsia="Times New Roman" w:hAnsi="Calibri" w:cs="Times New Roman"/>
                <w:color w:val="000000"/>
              </w:rPr>
            </w:pPr>
            <w:r w:rsidRPr="00970B96">
              <w:rPr>
                <w:rFonts w:ascii="Calibri" w:eastAsia="Times New Roman" w:hAnsi="Calibri" w:cs="Times New Roman"/>
                <w:color w:val="000000"/>
              </w:rPr>
              <w:t>Spring 2013</w:t>
            </w:r>
          </w:p>
        </w:tc>
        <w:tc>
          <w:tcPr>
            <w:tcW w:w="1160" w:type="dxa"/>
            <w:tcBorders>
              <w:top w:val="nil"/>
              <w:left w:val="nil"/>
              <w:bottom w:val="nil"/>
              <w:right w:val="nil"/>
            </w:tcBorders>
            <w:shd w:val="clear" w:color="auto" w:fill="auto"/>
            <w:noWrap/>
            <w:vAlign w:val="bottom"/>
            <w:hideMark/>
          </w:tcPr>
          <w:p w:rsidR="00970B96" w:rsidRPr="00970B96" w:rsidRDefault="00970B96" w:rsidP="00970B96">
            <w:pPr>
              <w:spacing w:after="0" w:line="240" w:lineRule="auto"/>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970B96" w:rsidRPr="00970B96" w:rsidRDefault="00970B96" w:rsidP="00970B96">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970B96" w:rsidRPr="00970B96" w:rsidRDefault="00970B96" w:rsidP="00970B96">
            <w:pPr>
              <w:spacing w:after="0" w:line="240" w:lineRule="auto"/>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970B96" w:rsidRPr="00970B96" w:rsidRDefault="00970B96" w:rsidP="00970B96">
            <w:pPr>
              <w:spacing w:after="0" w:line="240" w:lineRule="auto"/>
              <w:rPr>
                <w:rFonts w:ascii="Calibri" w:eastAsia="Times New Roman" w:hAnsi="Calibri" w:cs="Times New Roman"/>
                <w:color w:val="000000"/>
              </w:rPr>
            </w:pPr>
          </w:p>
        </w:tc>
      </w:tr>
      <w:tr w:rsidR="00970B96" w:rsidRPr="00970B96" w:rsidTr="00970B9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70B96" w:rsidRPr="00970B96" w:rsidRDefault="00970B96" w:rsidP="00970B96">
            <w:pPr>
              <w:spacing w:after="0" w:line="240" w:lineRule="auto"/>
              <w:jc w:val="center"/>
              <w:rPr>
                <w:rFonts w:ascii="Calibri" w:eastAsia="Times New Roman" w:hAnsi="Calibri" w:cs="Times New Roman"/>
                <w:color w:val="000000"/>
              </w:rPr>
            </w:pPr>
            <w:r w:rsidRPr="00970B96">
              <w:rPr>
                <w:rFonts w:ascii="Calibri" w:eastAsia="Times New Roman" w:hAnsi="Calibri" w:cs="Times New Roman"/>
                <w:color w:val="000000"/>
              </w:rPr>
              <w:t>Phys Sci</w:t>
            </w:r>
          </w:p>
        </w:tc>
        <w:tc>
          <w:tcPr>
            <w:tcW w:w="920" w:type="dxa"/>
            <w:tcBorders>
              <w:top w:val="nil"/>
              <w:left w:val="nil"/>
              <w:bottom w:val="single" w:sz="4" w:space="0" w:color="auto"/>
              <w:right w:val="single" w:sz="12" w:space="0" w:color="auto"/>
            </w:tcBorders>
            <w:shd w:val="clear" w:color="auto" w:fill="auto"/>
            <w:noWrap/>
            <w:vAlign w:val="bottom"/>
            <w:hideMark/>
          </w:tcPr>
          <w:p w:rsidR="00970B96" w:rsidRPr="00970B96" w:rsidRDefault="00970B96" w:rsidP="00970B96">
            <w:pPr>
              <w:spacing w:after="0" w:line="240" w:lineRule="auto"/>
              <w:jc w:val="center"/>
              <w:rPr>
                <w:rFonts w:ascii="Calibri" w:eastAsia="Times New Roman" w:hAnsi="Calibri" w:cs="Times New Roman"/>
                <w:color w:val="000000"/>
              </w:rPr>
            </w:pPr>
            <w:r w:rsidRPr="00970B96">
              <w:rPr>
                <w:rFonts w:ascii="Calibri" w:eastAsia="Times New Roman" w:hAnsi="Calibri" w:cs="Times New Roman"/>
                <w:color w:val="000000"/>
              </w:rPr>
              <w:t>3</w:t>
            </w:r>
          </w:p>
        </w:tc>
        <w:tc>
          <w:tcPr>
            <w:tcW w:w="1680" w:type="dxa"/>
            <w:tcBorders>
              <w:top w:val="nil"/>
              <w:left w:val="nil"/>
              <w:bottom w:val="single" w:sz="4" w:space="0" w:color="auto"/>
              <w:right w:val="single" w:sz="4" w:space="0" w:color="auto"/>
            </w:tcBorders>
            <w:shd w:val="clear" w:color="auto" w:fill="auto"/>
            <w:noWrap/>
            <w:vAlign w:val="bottom"/>
            <w:hideMark/>
          </w:tcPr>
          <w:p w:rsidR="00970B96" w:rsidRPr="00970B96" w:rsidRDefault="00970B96" w:rsidP="00970B96">
            <w:pPr>
              <w:spacing w:after="0" w:line="240" w:lineRule="auto"/>
              <w:jc w:val="center"/>
              <w:rPr>
                <w:rFonts w:ascii="Calibri" w:eastAsia="Times New Roman" w:hAnsi="Calibri" w:cs="Times New Roman"/>
                <w:color w:val="000000"/>
              </w:rPr>
            </w:pPr>
            <w:r w:rsidRPr="00970B96">
              <w:rPr>
                <w:rFonts w:ascii="Calibri" w:eastAsia="Times New Roman" w:hAnsi="Calibri" w:cs="Times New Roman"/>
                <w:color w:val="000000"/>
              </w:rPr>
              <w:t>1</w:t>
            </w:r>
          </w:p>
        </w:tc>
        <w:tc>
          <w:tcPr>
            <w:tcW w:w="1160" w:type="dxa"/>
            <w:tcBorders>
              <w:top w:val="nil"/>
              <w:left w:val="nil"/>
              <w:bottom w:val="single" w:sz="4" w:space="0" w:color="auto"/>
              <w:right w:val="single" w:sz="4" w:space="0" w:color="auto"/>
            </w:tcBorders>
            <w:shd w:val="clear" w:color="auto" w:fill="auto"/>
            <w:noWrap/>
            <w:vAlign w:val="bottom"/>
            <w:hideMark/>
          </w:tcPr>
          <w:p w:rsidR="00970B96" w:rsidRPr="00970B96" w:rsidRDefault="00970B96" w:rsidP="00970B96">
            <w:pPr>
              <w:spacing w:after="0" w:line="240" w:lineRule="auto"/>
              <w:jc w:val="center"/>
              <w:rPr>
                <w:rFonts w:ascii="Calibri" w:eastAsia="Times New Roman" w:hAnsi="Calibri" w:cs="Times New Roman"/>
                <w:color w:val="000000"/>
              </w:rPr>
            </w:pPr>
            <w:r w:rsidRPr="00970B96">
              <w:rPr>
                <w:rFonts w:ascii="Calibri" w:eastAsia="Times New Roman" w:hAnsi="Calibri" w:cs="Times New Roman"/>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rsidR="00970B96" w:rsidRPr="00970B96" w:rsidRDefault="00970B96" w:rsidP="00970B96">
            <w:pPr>
              <w:spacing w:after="0" w:line="240" w:lineRule="auto"/>
              <w:jc w:val="center"/>
              <w:rPr>
                <w:rFonts w:ascii="Calibri" w:eastAsia="Times New Roman" w:hAnsi="Calibri" w:cs="Times New Roman"/>
                <w:color w:val="000000"/>
              </w:rPr>
            </w:pPr>
            <w:r w:rsidRPr="00970B96">
              <w:rPr>
                <w:rFonts w:ascii="Calibri" w:eastAsia="Times New Roman" w:hAnsi="Calibri" w:cs="Times New Roman"/>
                <w:color w:val="000000"/>
              </w:rPr>
              <w:t>1,2,3</w:t>
            </w:r>
          </w:p>
        </w:tc>
        <w:tc>
          <w:tcPr>
            <w:tcW w:w="1160" w:type="dxa"/>
            <w:tcBorders>
              <w:top w:val="nil"/>
              <w:left w:val="nil"/>
              <w:bottom w:val="nil"/>
              <w:right w:val="nil"/>
            </w:tcBorders>
            <w:shd w:val="clear" w:color="auto" w:fill="auto"/>
            <w:noWrap/>
            <w:vAlign w:val="bottom"/>
            <w:hideMark/>
          </w:tcPr>
          <w:p w:rsidR="00970B96" w:rsidRPr="00970B96" w:rsidRDefault="00970B96" w:rsidP="00970B96">
            <w:pPr>
              <w:spacing w:after="0" w:line="240" w:lineRule="auto"/>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970B96" w:rsidRPr="00970B96" w:rsidRDefault="00970B96" w:rsidP="00970B96">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970B96" w:rsidRPr="00970B96" w:rsidRDefault="00970B96" w:rsidP="00970B96">
            <w:pPr>
              <w:spacing w:after="0" w:line="240" w:lineRule="auto"/>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970B96" w:rsidRPr="00970B96" w:rsidRDefault="00970B96" w:rsidP="00970B96">
            <w:pPr>
              <w:spacing w:after="0" w:line="240" w:lineRule="auto"/>
              <w:rPr>
                <w:rFonts w:ascii="Calibri" w:eastAsia="Times New Roman" w:hAnsi="Calibri" w:cs="Times New Roman"/>
                <w:color w:val="000000"/>
              </w:rPr>
            </w:pPr>
          </w:p>
        </w:tc>
      </w:tr>
    </w:tbl>
    <w:p w:rsidR="00F66F09" w:rsidRDefault="00F66F09" w:rsidP="005B59C1">
      <w:pPr>
        <w:spacing w:after="0" w:line="240" w:lineRule="auto"/>
        <w:rPr>
          <w:b/>
          <w:sz w:val="32"/>
          <w:szCs w:val="32"/>
        </w:rPr>
      </w:pPr>
    </w:p>
    <w:sectPr w:rsidR="00F66F09" w:rsidSect="00AD4987">
      <w:footerReference w:type="default" r:id="rId18"/>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A2D" w:rsidRDefault="00373A2D" w:rsidP="00C269D2">
      <w:pPr>
        <w:spacing w:after="0" w:line="240" w:lineRule="auto"/>
      </w:pPr>
      <w:r>
        <w:separator/>
      </w:r>
    </w:p>
  </w:endnote>
  <w:endnote w:type="continuationSeparator" w:id="0">
    <w:p w:rsidR="00373A2D" w:rsidRDefault="00373A2D"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A2D" w:rsidRDefault="00373A2D">
    <w:pPr>
      <w:pStyle w:val="Footer"/>
      <w:rPr>
        <w:color w:val="000000" w:themeColor="text1"/>
        <w:sz w:val="24"/>
        <w:szCs w:val="24"/>
      </w:rPr>
    </w:pPr>
    <w:r>
      <w:rPr>
        <w:color w:val="000000" w:themeColor="text1"/>
        <w:sz w:val="24"/>
        <w:szCs w:val="24"/>
      </w:rPr>
      <w:t>Academic Program Review</w:t>
    </w:r>
  </w:p>
  <w:p w:rsidR="00373A2D" w:rsidRPr="002D5944" w:rsidRDefault="00373A2D">
    <w:pPr>
      <w:pStyle w:val="Footer"/>
      <w:rPr>
        <w:color w:val="000000" w:themeColor="text1"/>
        <w:sz w:val="18"/>
        <w:szCs w:val="24"/>
      </w:rPr>
    </w:pPr>
    <w:r>
      <w:rPr>
        <w:color w:val="000000" w:themeColor="text1"/>
        <w:sz w:val="18"/>
        <w:szCs w:val="24"/>
      </w:rPr>
      <w:t>01/09/14</w:t>
    </w:r>
  </w:p>
  <w:p w:rsidR="00373A2D" w:rsidRDefault="00373A2D">
    <w:pPr>
      <w:pStyle w:val="Footer"/>
    </w:pPr>
    <w:r>
      <w:rPr>
        <w:noProof/>
      </w:rPr>
      <mc:AlternateContent>
        <mc:Choice Requires="wps">
          <w:drawing>
            <wp:anchor distT="0" distB="0" distL="114300" distR="114300" simplePos="0" relativeHeight="251659264" behindDoc="0" locked="0" layoutInCell="1" allowOverlap="1" wp14:anchorId="115D4CC8" wp14:editId="43575206">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373A2D" w:rsidRDefault="00373A2D">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597A61">
                            <w:rPr>
                              <w:rFonts w:asciiTheme="majorHAnsi" w:hAnsiTheme="majorHAnsi"/>
                              <w:noProof/>
                              <w:color w:val="000000" w:themeColor="text1"/>
                              <w:sz w:val="40"/>
                              <w:szCs w:val="40"/>
                            </w:rPr>
                            <w:t>14</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373A2D" w:rsidRDefault="00373A2D">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597A61">
                      <w:rPr>
                        <w:rFonts w:asciiTheme="majorHAnsi" w:hAnsiTheme="majorHAnsi"/>
                        <w:noProof/>
                        <w:color w:val="000000" w:themeColor="text1"/>
                        <w:sz w:val="40"/>
                        <w:szCs w:val="40"/>
                      </w:rPr>
                      <w:t>14</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07F280F5" wp14:editId="7D49E322">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A2D" w:rsidRDefault="00373A2D" w:rsidP="00C269D2">
      <w:pPr>
        <w:spacing w:after="0" w:line="240" w:lineRule="auto"/>
      </w:pPr>
      <w:r>
        <w:separator/>
      </w:r>
    </w:p>
  </w:footnote>
  <w:footnote w:type="continuationSeparator" w:id="0">
    <w:p w:rsidR="00373A2D" w:rsidRDefault="00373A2D" w:rsidP="00C2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AFA6CE7"/>
    <w:multiLevelType w:val="hybridMultilevel"/>
    <w:tmpl w:val="024C8852"/>
    <w:lvl w:ilvl="0" w:tplc="D6CA8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2F52B28"/>
    <w:multiLevelType w:val="hybridMultilevel"/>
    <w:tmpl w:val="C4300588"/>
    <w:lvl w:ilvl="0" w:tplc="A1AE0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4"/>
  </w:num>
  <w:num w:numId="5">
    <w:abstractNumId w:val="11"/>
  </w:num>
  <w:num w:numId="6">
    <w:abstractNumId w:val="9"/>
  </w:num>
  <w:num w:numId="7">
    <w:abstractNumId w:val="3"/>
  </w:num>
  <w:num w:numId="8">
    <w:abstractNumId w:val="10"/>
  </w:num>
  <w:num w:numId="9">
    <w:abstractNumId w:val="7"/>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11C9E"/>
    <w:rsid w:val="000201D9"/>
    <w:rsid w:val="00027923"/>
    <w:rsid w:val="00033067"/>
    <w:rsid w:val="000403F6"/>
    <w:rsid w:val="00043E27"/>
    <w:rsid w:val="00046042"/>
    <w:rsid w:val="0005417A"/>
    <w:rsid w:val="00081A8E"/>
    <w:rsid w:val="00085642"/>
    <w:rsid w:val="000A2181"/>
    <w:rsid w:val="000A56FF"/>
    <w:rsid w:val="000C3BC9"/>
    <w:rsid w:val="000D01C8"/>
    <w:rsid w:val="00110022"/>
    <w:rsid w:val="0013472B"/>
    <w:rsid w:val="00161A08"/>
    <w:rsid w:val="001824BF"/>
    <w:rsid w:val="001B0E63"/>
    <w:rsid w:val="001B3E09"/>
    <w:rsid w:val="001C0FA5"/>
    <w:rsid w:val="001C31AE"/>
    <w:rsid w:val="001C394F"/>
    <w:rsid w:val="001C4679"/>
    <w:rsid w:val="00211B80"/>
    <w:rsid w:val="00223F78"/>
    <w:rsid w:val="0023193A"/>
    <w:rsid w:val="002423D1"/>
    <w:rsid w:val="002521F9"/>
    <w:rsid w:val="00257C76"/>
    <w:rsid w:val="00266594"/>
    <w:rsid w:val="00271A0B"/>
    <w:rsid w:val="0028431E"/>
    <w:rsid w:val="00293F3C"/>
    <w:rsid w:val="002C6F20"/>
    <w:rsid w:val="002D5944"/>
    <w:rsid w:val="002F5CCA"/>
    <w:rsid w:val="003204B1"/>
    <w:rsid w:val="003648E7"/>
    <w:rsid w:val="00373A2D"/>
    <w:rsid w:val="00391312"/>
    <w:rsid w:val="0039232D"/>
    <w:rsid w:val="003A0610"/>
    <w:rsid w:val="003B17D4"/>
    <w:rsid w:val="003F7DA7"/>
    <w:rsid w:val="004111B8"/>
    <w:rsid w:val="004519FF"/>
    <w:rsid w:val="00455861"/>
    <w:rsid w:val="004578EE"/>
    <w:rsid w:val="004A2B92"/>
    <w:rsid w:val="004B7383"/>
    <w:rsid w:val="004C4E7F"/>
    <w:rsid w:val="004D4D45"/>
    <w:rsid w:val="004F1EA0"/>
    <w:rsid w:val="00541352"/>
    <w:rsid w:val="00555678"/>
    <w:rsid w:val="00556AD5"/>
    <w:rsid w:val="005707F9"/>
    <w:rsid w:val="0057128D"/>
    <w:rsid w:val="00594CC6"/>
    <w:rsid w:val="00597A61"/>
    <w:rsid w:val="00597F48"/>
    <w:rsid w:val="005A6C4B"/>
    <w:rsid w:val="005B59C1"/>
    <w:rsid w:val="005B72F8"/>
    <w:rsid w:val="005C00F3"/>
    <w:rsid w:val="005C3A5A"/>
    <w:rsid w:val="005E6467"/>
    <w:rsid w:val="005F09EA"/>
    <w:rsid w:val="00603C62"/>
    <w:rsid w:val="00621634"/>
    <w:rsid w:val="00641F0C"/>
    <w:rsid w:val="006454E3"/>
    <w:rsid w:val="00663719"/>
    <w:rsid w:val="00670782"/>
    <w:rsid w:val="0067490F"/>
    <w:rsid w:val="006854CC"/>
    <w:rsid w:val="00691A49"/>
    <w:rsid w:val="006B712B"/>
    <w:rsid w:val="006C664D"/>
    <w:rsid w:val="006C7590"/>
    <w:rsid w:val="006D1FC2"/>
    <w:rsid w:val="006D2FCF"/>
    <w:rsid w:val="006D4F29"/>
    <w:rsid w:val="00700A8A"/>
    <w:rsid w:val="0071593B"/>
    <w:rsid w:val="007250CF"/>
    <w:rsid w:val="00725D31"/>
    <w:rsid w:val="007440FF"/>
    <w:rsid w:val="007460AC"/>
    <w:rsid w:val="0079256B"/>
    <w:rsid w:val="007B5C3A"/>
    <w:rsid w:val="007B6E52"/>
    <w:rsid w:val="007D1955"/>
    <w:rsid w:val="007E4294"/>
    <w:rsid w:val="007F00B5"/>
    <w:rsid w:val="007F1BF9"/>
    <w:rsid w:val="00827180"/>
    <w:rsid w:val="00845E03"/>
    <w:rsid w:val="00845F64"/>
    <w:rsid w:val="0085021D"/>
    <w:rsid w:val="00875F92"/>
    <w:rsid w:val="00885966"/>
    <w:rsid w:val="008A48AC"/>
    <w:rsid w:val="008C181E"/>
    <w:rsid w:val="008E6322"/>
    <w:rsid w:val="008F1519"/>
    <w:rsid w:val="008F6DD3"/>
    <w:rsid w:val="00924957"/>
    <w:rsid w:val="0094250C"/>
    <w:rsid w:val="00944407"/>
    <w:rsid w:val="00946D62"/>
    <w:rsid w:val="00970B96"/>
    <w:rsid w:val="0097680B"/>
    <w:rsid w:val="00987B31"/>
    <w:rsid w:val="009968E8"/>
    <w:rsid w:val="009A1ADE"/>
    <w:rsid w:val="009D3A48"/>
    <w:rsid w:val="009F08F0"/>
    <w:rsid w:val="00A2467D"/>
    <w:rsid w:val="00A257C2"/>
    <w:rsid w:val="00A95A5F"/>
    <w:rsid w:val="00AD4987"/>
    <w:rsid w:val="00AE0185"/>
    <w:rsid w:val="00AE599F"/>
    <w:rsid w:val="00AE5C40"/>
    <w:rsid w:val="00B05E52"/>
    <w:rsid w:val="00B221A1"/>
    <w:rsid w:val="00B25FA2"/>
    <w:rsid w:val="00B30971"/>
    <w:rsid w:val="00B7127A"/>
    <w:rsid w:val="00B7252F"/>
    <w:rsid w:val="00B91965"/>
    <w:rsid w:val="00BA22FE"/>
    <w:rsid w:val="00BA2412"/>
    <w:rsid w:val="00BA2EC9"/>
    <w:rsid w:val="00BB3035"/>
    <w:rsid w:val="00BB7ACA"/>
    <w:rsid w:val="00BD2BA5"/>
    <w:rsid w:val="00BD5E72"/>
    <w:rsid w:val="00BE377E"/>
    <w:rsid w:val="00BF037A"/>
    <w:rsid w:val="00C059EE"/>
    <w:rsid w:val="00C0717C"/>
    <w:rsid w:val="00C15830"/>
    <w:rsid w:val="00C269D2"/>
    <w:rsid w:val="00C32B0F"/>
    <w:rsid w:val="00C521EC"/>
    <w:rsid w:val="00C61A1E"/>
    <w:rsid w:val="00C9513F"/>
    <w:rsid w:val="00CA225B"/>
    <w:rsid w:val="00CC5AEE"/>
    <w:rsid w:val="00CD76AB"/>
    <w:rsid w:val="00CE78BF"/>
    <w:rsid w:val="00CF1504"/>
    <w:rsid w:val="00D001FF"/>
    <w:rsid w:val="00D13C67"/>
    <w:rsid w:val="00D140DE"/>
    <w:rsid w:val="00D25935"/>
    <w:rsid w:val="00D46DD5"/>
    <w:rsid w:val="00D6026F"/>
    <w:rsid w:val="00D67F65"/>
    <w:rsid w:val="00D7054E"/>
    <w:rsid w:val="00D84502"/>
    <w:rsid w:val="00D847BE"/>
    <w:rsid w:val="00D9584C"/>
    <w:rsid w:val="00D976AD"/>
    <w:rsid w:val="00DD6F85"/>
    <w:rsid w:val="00E364FB"/>
    <w:rsid w:val="00E63051"/>
    <w:rsid w:val="00E8336B"/>
    <w:rsid w:val="00E87BA0"/>
    <w:rsid w:val="00EB56B6"/>
    <w:rsid w:val="00EF1EC8"/>
    <w:rsid w:val="00EF4BD8"/>
    <w:rsid w:val="00F072A5"/>
    <w:rsid w:val="00F174C8"/>
    <w:rsid w:val="00F60651"/>
    <w:rsid w:val="00F65A01"/>
    <w:rsid w:val="00F66F09"/>
    <w:rsid w:val="00F84054"/>
    <w:rsid w:val="00FB2B8C"/>
    <w:rsid w:val="00FB7280"/>
    <w:rsid w:val="00FC2EBE"/>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 w:id="746070686">
      <w:bodyDiv w:val="1"/>
      <w:marLeft w:val="0"/>
      <w:marRight w:val="0"/>
      <w:marTop w:val="0"/>
      <w:marBottom w:val="0"/>
      <w:divBdr>
        <w:top w:val="none" w:sz="0" w:space="0" w:color="auto"/>
        <w:left w:val="none" w:sz="0" w:space="0" w:color="auto"/>
        <w:bottom w:val="none" w:sz="0" w:space="0" w:color="auto"/>
        <w:right w:val="none" w:sz="0" w:space="0" w:color="auto"/>
      </w:divBdr>
    </w:div>
    <w:div w:id="122895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IT903S-MYDOCS\My%20Docs\daniel.gilison\Documents\IVC\Science%20Department\Program%20Review\CPR\2013-2014\Physical%20Science%202013-14%20Program%20Review%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T903S-MYDOCS\My%20Docs\daniel.gilison\Documents\IVC\Science%20Department\Program%20Review\CPR\2013-2014\Physical%20Science%202013-14%20Program%20Review%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T903S-MYDOCS\My%20Docs\daniel.gilison\Documents\IVC\Science%20Department\Program%20Review\CPR\2013-2014\Physical%20Science%202013-14%20Program%20Review%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T903S-MYDOCS\My%20Docs\daniel.gilison\Documents\IVC\Science%20Department\Program%20Review\CPR\2013-2014\Physical%20Science%202013-14%20Program%20Review%20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IT903S-MYDOCS\My%20Docs\daniel.gilison\Documents\IVC\Science%20Department\Program%20Review\CPR\2013-2014\Physical%20Science%202013-14%20Program%20Review%20Dat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IT903S-MYDOCS\My%20Docs\daniel.gilison\Documents\IVC\Science%20Department\Program%20Review\CPR\2013-2014\Physical%20Science%202013-14%20Program%20Review%20Dat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IT903S-MYDOCS\My%20Docs\daniel.gilison\Documents\IVC\Science%20Department\Program%20Review\CPR\2013-2014\Physical%20Science%202013-14%20Program%20Review%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Enrollment</a:t>
            </a:r>
          </a:p>
        </c:rich>
      </c:tx>
      <c:layout/>
      <c:overlay val="0"/>
    </c:title>
    <c:autoTitleDeleted val="0"/>
    <c:plotArea>
      <c:layout/>
      <c:barChart>
        <c:barDir val="col"/>
        <c:grouping val="clustered"/>
        <c:varyColors val="0"/>
        <c:ser>
          <c:idx val="0"/>
          <c:order val="0"/>
          <c:tx>
            <c:strRef>
              <c:f>'Enrollment and Fill'!$B$2</c:f>
              <c:strCache>
                <c:ptCount val="1"/>
                <c:pt idx="0">
                  <c:v>Day</c:v>
                </c:pt>
              </c:strCache>
            </c:strRef>
          </c:tx>
          <c:invertIfNegative val="0"/>
          <c:cat>
            <c:strRef>
              <c:f>'Enrollment and Fill'!$A$3:$A$12</c:f>
              <c:strCache>
                <c:ptCount val="10"/>
                <c:pt idx="0">
                  <c:v>CHEM 200</c:v>
                </c:pt>
                <c:pt idx="1">
                  <c:v>CHEM 202</c:v>
                </c:pt>
                <c:pt idx="2">
                  <c:v>MATH 192</c:v>
                </c:pt>
                <c:pt idx="3">
                  <c:v>MATH 194</c:v>
                </c:pt>
                <c:pt idx="4">
                  <c:v>ASTR 100</c:v>
                </c:pt>
                <c:pt idx="5">
                  <c:v>MATH 119</c:v>
                </c:pt>
                <c:pt idx="6">
                  <c:v>MATH 210</c:v>
                </c:pt>
                <c:pt idx="7">
                  <c:v>MATH 220</c:v>
                </c:pt>
                <c:pt idx="8">
                  <c:v>MATH 230</c:v>
                </c:pt>
                <c:pt idx="9">
                  <c:v>PHSC 110</c:v>
                </c:pt>
              </c:strCache>
            </c:strRef>
          </c:cat>
          <c:val>
            <c:numRef>
              <c:f>'Enrollment and Fill'!$B$3:$B$12</c:f>
              <c:numCache>
                <c:formatCode>General</c:formatCode>
                <c:ptCount val="10"/>
                <c:pt idx="0">
                  <c:v>24.4</c:v>
                </c:pt>
                <c:pt idx="1">
                  <c:v>13.75</c:v>
                </c:pt>
                <c:pt idx="2">
                  <c:v>30.3</c:v>
                </c:pt>
                <c:pt idx="3">
                  <c:v>28.25</c:v>
                </c:pt>
                <c:pt idx="4">
                  <c:v>33.4</c:v>
                </c:pt>
                <c:pt idx="5">
                  <c:v>35.1</c:v>
                </c:pt>
                <c:pt idx="6">
                  <c:v>32</c:v>
                </c:pt>
                <c:pt idx="7">
                  <c:v>22</c:v>
                </c:pt>
                <c:pt idx="8">
                  <c:v>29.5</c:v>
                </c:pt>
                <c:pt idx="9">
                  <c:v>29.9</c:v>
                </c:pt>
              </c:numCache>
            </c:numRef>
          </c:val>
        </c:ser>
        <c:ser>
          <c:idx val="1"/>
          <c:order val="1"/>
          <c:tx>
            <c:strRef>
              <c:f>'Enrollment and Fill'!$C$2</c:f>
              <c:strCache>
                <c:ptCount val="1"/>
                <c:pt idx="0">
                  <c:v>Night</c:v>
                </c:pt>
              </c:strCache>
            </c:strRef>
          </c:tx>
          <c:invertIfNegative val="0"/>
          <c:cat>
            <c:strRef>
              <c:f>'Enrollment and Fill'!$A$3:$A$12</c:f>
              <c:strCache>
                <c:ptCount val="10"/>
                <c:pt idx="0">
                  <c:v>CHEM 200</c:v>
                </c:pt>
                <c:pt idx="1">
                  <c:v>CHEM 202</c:v>
                </c:pt>
                <c:pt idx="2">
                  <c:v>MATH 192</c:v>
                </c:pt>
                <c:pt idx="3">
                  <c:v>MATH 194</c:v>
                </c:pt>
                <c:pt idx="4">
                  <c:v>ASTR 100</c:v>
                </c:pt>
                <c:pt idx="5">
                  <c:v>MATH 119</c:v>
                </c:pt>
                <c:pt idx="6">
                  <c:v>MATH 210</c:v>
                </c:pt>
                <c:pt idx="7">
                  <c:v>MATH 220</c:v>
                </c:pt>
                <c:pt idx="8">
                  <c:v>MATH 230</c:v>
                </c:pt>
                <c:pt idx="9">
                  <c:v>PHSC 110</c:v>
                </c:pt>
              </c:strCache>
            </c:strRef>
          </c:cat>
          <c:val>
            <c:numRef>
              <c:f>'Enrollment and Fill'!$C$3:$C$12</c:f>
              <c:numCache>
                <c:formatCode>General</c:formatCode>
                <c:ptCount val="10"/>
                <c:pt idx="0">
                  <c:v>25</c:v>
                </c:pt>
                <c:pt idx="1">
                  <c:v>19</c:v>
                </c:pt>
                <c:pt idx="2">
                  <c:v>24.75</c:v>
                </c:pt>
                <c:pt idx="3">
                  <c:v>30</c:v>
                </c:pt>
                <c:pt idx="4">
                  <c:v>28.5</c:v>
                </c:pt>
                <c:pt idx="5">
                  <c:v>33.1</c:v>
                </c:pt>
                <c:pt idx="7">
                  <c:v>24</c:v>
                </c:pt>
                <c:pt idx="8">
                  <c:v>26</c:v>
                </c:pt>
                <c:pt idx="9">
                  <c:v>28</c:v>
                </c:pt>
              </c:numCache>
            </c:numRef>
          </c:val>
        </c:ser>
        <c:dLbls>
          <c:showLegendKey val="0"/>
          <c:showVal val="0"/>
          <c:showCatName val="0"/>
          <c:showSerName val="0"/>
          <c:showPercent val="0"/>
          <c:showBubbleSize val="0"/>
        </c:dLbls>
        <c:gapWidth val="150"/>
        <c:axId val="69412736"/>
        <c:axId val="69414272"/>
      </c:barChart>
      <c:catAx>
        <c:axId val="69412736"/>
        <c:scaling>
          <c:orientation val="minMax"/>
        </c:scaling>
        <c:delete val="0"/>
        <c:axPos val="b"/>
        <c:majorTickMark val="out"/>
        <c:minorTickMark val="none"/>
        <c:tickLblPos val="nextTo"/>
        <c:crossAx val="69414272"/>
        <c:crosses val="autoZero"/>
        <c:auto val="1"/>
        <c:lblAlgn val="ctr"/>
        <c:lblOffset val="100"/>
        <c:noMultiLvlLbl val="0"/>
      </c:catAx>
      <c:valAx>
        <c:axId val="69414272"/>
        <c:scaling>
          <c:orientation val="minMax"/>
          <c:min val="10"/>
        </c:scaling>
        <c:delete val="0"/>
        <c:axPos val="l"/>
        <c:majorGridlines/>
        <c:title>
          <c:tx>
            <c:rich>
              <a:bodyPr rot="-5400000" vert="horz"/>
              <a:lstStyle/>
              <a:p>
                <a:pPr>
                  <a:defRPr/>
                </a:pPr>
                <a:r>
                  <a:rPr lang="en-US"/>
                  <a:t># Students</a:t>
                </a:r>
              </a:p>
            </c:rich>
          </c:tx>
          <c:layout/>
          <c:overlay val="0"/>
        </c:title>
        <c:numFmt formatCode="General" sourceLinked="1"/>
        <c:majorTickMark val="out"/>
        <c:minorTickMark val="none"/>
        <c:tickLblPos val="nextTo"/>
        <c:crossAx val="69412736"/>
        <c:crosses val="autoZero"/>
        <c:crossBetween val="between"/>
      </c:valAx>
    </c:plotArea>
    <c:legend>
      <c:legendPos val="r"/>
      <c:layout>
        <c:manualLayout>
          <c:xMode val="edge"/>
          <c:yMode val="edge"/>
          <c:x val="0.75959217091106856"/>
          <c:y val="7.5947069116360483E-2"/>
          <c:w val="0.1465639852450876"/>
          <c:h val="0.16743438320209975"/>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Fill Rates</a:t>
            </a:r>
          </a:p>
        </c:rich>
      </c:tx>
      <c:layout/>
      <c:overlay val="0"/>
    </c:title>
    <c:autoTitleDeleted val="0"/>
    <c:plotArea>
      <c:layout/>
      <c:barChart>
        <c:barDir val="col"/>
        <c:grouping val="clustered"/>
        <c:varyColors val="0"/>
        <c:ser>
          <c:idx val="0"/>
          <c:order val="0"/>
          <c:tx>
            <c:strRef>
              <c:f>'Enrollment and Fill'!$E$2</c:f>
              <c:strCache>
                <c:ptCount val="1"/>
                <c:pt idx="0">
                  <c:v>Day</c:v>
                </c:pt>
              </c:strCache>
            </c:strRef>
          </c:tx>
          <c:invertIfNegative val="0"/>
          <c:cat>
            <c:strRef>
              <c:f>'Enrollment and Fill'!$D$3:$D$12</c:f>
              <c:strCache>
                <c:ptCount val="10"/>
                <c:pt idx="0">
                  <c:v>CHEM 200</c:v>
                </c:pt>
                <c:pt idx="1">
                  <c:v>CHEM 202</c:v>
                </c:pt>
                <c:pt idx="2">
                  <c:v>MATH 192</c:v>
                </c:pt>
                <c:pt idx="3">
                  <c:v>MATH 194</c:v>
                </c:pt>
                <c:pt idx="4">
                  <c:v>ASTR 100</c:v>
                </c:pt>
                <c:pt idx="5">
                  <c:v>MATH 119</c:v>
                </c:pt>
                <c:pt idx="6">
                  <c:v>MATH 210</c:v>
                </c:pt>
                <c:pt idx="7">
                  <c:v>MATH 220</c:v>
                </c:pt>
                <c:pt idx="8">
                  <c:v>MATH 230</c:v>
                </c:pt>
                <c:pt idx="9">
                  <c:v>PHSC 110</c:v>
                </c:pt>
              </c:strCache>
            </c:strRef>
          </c:cat>
          <c:val>
            <c:numRef>
              <c:f>'Enrollment and Fill'!$E$3:$E$12</c:f>
              <c:numCache>
                <c:formatCode>0.0</c:formatCode>
                <c:ptCount val="10"/>
                <c:pt idx="0" formatCode="General">
                  <c:v>97.6</c:v>
                </c:pt>
                <c:pt idx="1">
                  <c:v>57.291666666666664</c:v>
                </c:pt>
                <c:pt idx="2" formatCode="General">
                  <c:v>101</c:v>
                </c:pt>
                <c:pt idx="3">
                  <c:v>94.166666666666671</c:v>
                </c:pt>
                <c:pt idx="4">
                  <c:v>95.428571428571431</c:v>
                </c:pt>
                <c:pt idx="5">
                  <c:v>117.00000000000001</c:v>
                </c:pt>
                <c:pt idx="6">
                  <c:v>106.66666666666667</c:v>
                </c:pt>
                <c:pt idx="7">
                  <c:v>73.333333333333329</c:v>
                </c:pt>
                <c:pt idx="8">
                  <c:v>98.333333333333329</c:v>
                </c:pt>
                <c:pt idx="9">
                  <c:v>99.666666666666657</c:v>
                </c:pt>
              </c:numCache>
            </c:numRef>
          </c:val>
        </c:ser>
        <c:ser>
          <c:idx val="1"/>
          <c:order val="1"/>
          <c:tx>
            <c:strRef>
              <c:f>'Enrollment and Fill'!$F$2</c:f>
              <c:strCache>
                <c:ptCount val="1"/>
                <c:pt idx="0">
                  <c:v>Night</c:v>
                </c:pt>
              </c:strCache>
            </c:strRef>
          </c:tx>
          <c:invertIfNegative val="0"/>
          <c:cat>
            <c:strRef>
              <c:f>'Enrollment and Fill'!$D$3:$D$12</c:f>
              <c:strCache>
                <c:ptCount val="10"/>
                <c:pt idx="0">
                  <c:v>CHEM 200</c:v>
                </c:pt>
                <c:pt idx="1">
                  <c:v>CHEM 202</c:v>
                </c:pt>
                <c:pt idx="2">
                  <c:v>MATH 192</c:v>
                </c:pt>
                <c:pt idx="3">
                  <c:v>MATH 194</c:v>
                </c:pt>
                <c:pt idx="4">
                  <c:v>ASTR 100</c:v>
                </c:pt>
                <c:pt idx="5">
                  <c:v>MATH 119</c:v>
                </c:pt>
                <c:pt idx="6">
                  <c:v>MATH 210</c:v>
                </c:pt>
                <c:pt idx="7">
                  <c:v>MATH 220</c:v>
                </c:pt>
                <c:pt idx="8">
                  <c:v>MATH 230</c:v>
                </c:pt>
                <c:pt idx="9">
                  <c:v>PHSC 110</c:v>
                </c:pt>
              </c:strCache>
            </c:strRef>
          </c:cat>
          <c:val>
            <c:numRef>
              <c:f>'Enrollment and Fill'!$F$3:$F$12</c:f>
              <c:numCache>
                <c:formatCode>0.0</c:formatCode>
                <c:ptCount val="10"/>
                <c:pt idx="0" formatCode="General">
                  <c:v>100</c:v>
                </c:pt>
                <c:pt idx="1">
                  <c:v>79.166666666666657</c:v>
                </c:pt>
                <c:pt idx="2" formatCode="General">
                  <c:v>82.5</c:v>
                </c:pt>
                <c:pt idx="3">
                  <c:v>100</c:v>
                </c:pt>
                <c:pt idx="4">
                  <c:v>81.428571428571431</c:v>
                </c:pt>
                <c:pt idx="5">
                  <c:v>110.33333333333333</c:v>
                </c:pt>
                <c:pt idx="7">
                  <c:v>80</c:v>
                </c:pt>
                <c:pt idx="8">
                  <c:v>86.666666666666671</c:v>
                </c:pt>
                <c:pt idx="9">
                  <c:v>93.333333333333329</c:v>
                </c:pt>
              </c:numCache>
            </c:numRef>
          </c:val>
        </c:ser>
        <c:dLbls>
          <c:showLegendKey val="0"/>
          <c:showVal val="0"/>
          <c:showCatName val="0"/>
          <c:showSerName val="0"/>
          <c:showPercent val="0"/>
          <c:showBubbleSize val="0"/>
        </c:dLbls>
        <c:gapWidth val="150"/>
        <c:axId val="116699136"/>
        <c:axId val="116700672"/>
      </c:barChart>
      <c:catAx>
        <c:axId val="116699136"/>
        <c:scaling>
          <c:orientation val="minMax"/>
        </c:scaling>
        <c:delete val="0"/>
        <c:axPos val="b"/>
        <c:majorTickMark val="out"/>
        <c:minorTickMark val="none"/>
        <c:tickLblPos val="nextTo"/>
        <c:crossAx val="116700672"/>
        <c:crosses val="autoZero"/>
        <c:auto val="1"/>
        <c:lblAlgn val="ctr"/>
        <c:lblOffset val="100"/>
        <c:noMultiLvlLbl val="0"/>
      </c:catAx>
      <c:valAx>
        <c:axId val="116700672"/>
        <c:scaling>
          <c:orientation val="minMax"/>
          <c:max val="120"/>
          <c:min val="10"/>
        </c:scaling>
        <c:delete val="0"/>
        <c:axPos val="l"/>
        <c:majorGridlines/>
        <c:title>
          <c:tx>
            <c:rich>
              <a:bodyPr rot="-5400000" vert="horz"/>
              <a:lstStyle/>
              <a:p>
                <a:pPr>
                  <a:defRPr/>
                </a:pPr>
                <a:r>
                  <a:rPr lang="en-US"/>
                  <a:t>%</a:t>
                </a:r>
                <a:r>
                  <a:rPr lang="en-US" baseline="0"/>
                  <a:t> Fill</a:t>
                </a:r>
                <a:endParaRPr lang="en-US"/>
              </a:p>
            </c:rich>
          </c:tx>
          <c:layout/>
          <c:overlay val="0"/>
        </c:title>
        <c:numFmt formatCode="General" sourceLinked="1"/>
        <c:majorTickMark val="out"/>
        <c:minorTickMark val="none"/>
        <c:tickLblPos val="nextTo"/>
        <c:crossAx val="116699136"/>
        <c:crosses val="autoZero"/>
        <c:crossBetween val="between"/>
      </c:valAx>
    </c:plotArea>
    <c:legend>
      <c:legendPos val="r"/>
      <c:layout>
        <c:manualLayout>
          <c:xMode val="edge"/>
          <c:yMode val="edge"/>
          <c:x val="0.85171405657626131"/>
          <c:y val="1.8729950422864078E-3"/>
          <c:w val="0.12050816564596092"/>
          <c:h val="0.16743438320209975"/>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Productivity</a:t>
            </a:r>
          </a:p>
        </c:rich>
      </c:tx>
      <c:layout/>
      <c:overlay val="0"/>
    </c:title>
    <c:autoTitleDeleted val="0"/>
    <c:plotArea>
      <c:layout/>
      <c:barChart>
        <c:barDir val="col"/>
        <c:grouping val="clustered"/>
        <c:varyColors val="0"/>
        <c:ser>
          <c:idx val="0"/>
          <c:order val="0"/>
          <c:tx>
            <c:strRef>
              <c:f>Productivity!$B$2</c:f>
              <c:strCache>
                <c:ptCount val="1"/>
                <c:pt idx="0">
                  <c:v>PHSC 110</c:v>
                </c:pt>
              </c:strCache>
            </c:strRef>
          </c:tx>
          <c:invertIfNegative val="0"/>
          <c:cat>
            <c:strRef>
              <c:f>Productivity!$A$3:$A$8</c:f>
              <c:strCache>
                <c:ptCount val="6"/>
                <c:pt idx="0">
                  <c:v>Fall 2010</c:v>
                </c:pt>
                <c:pt idx="1">
                  <c:v>Spring 2011</c:v>
                </c:pt>
                <c:pt idx="2">
                  <c:v>Fall 2011</c:v>
                </c:pt>
                <c:pt idx="3">
                  <c:v>Spring 2012</c:v>
                </c:pt>
                <c:pt idx="4">
                  <c:v>Fall 2012</c:v>
                </c:pt>
                <c:pt idx="5">
                  <c:v>Spring 2013</c:v>
                </c:pt>
              </c:strCache>
            </c:strRef>
          </c:cat>
          <c:val>
            <c:numRef>
              <c:f>Productivity!$B$3:$B$8</c:f>
              <c:numCache>
                <c:formatCode>General</c:formatCode>
                <c:ptCount val="6"/>
                <c:pt idx="0">
                  <c:v>518.5</c:v>
                </c:pt>
                <c:pt idx="1">
                  <c:v>510</c:v>
                </c:pt>
                <c:pt idx="2">
                  <c:v>595</c:v>
                </c:pt>
                <c:pt idx="3">
                  <c:v>467.5</c:v>
                </c:pt>
                <c:pt idx="4">
                  <c:v>544</c:v>
                </c:pt>
                <c:pt idx="5">
                  <c:v>399.5</c:v>
                </c:pt>
              </c:numCache>
            </c:numRef>
          </c:val>
        </c:ser>
        <c:ser>
          <c:idx val="1"/>
          <c:order val="1"/>
          <c:tx>
            <c:strRef>
              <c:f>Productivity!$C$2</c:f>
              <c:strCache>
                <c:ptCount val="1"/>
                <c:pt idx="0">
                  <c:v>ASTR 100</c:v>
                </c:pt>
              </c:strCache>
            </c:strRef>
          </c:tx>
          <c:invertIfNegative val="0"/>
          <c:cat>
            <c:strRef>
              <c:f>Productivity!$A$3:$A$8</c:f>
              <c:strCache>
                <c:ptCount val="6"/>
                <c:pt idx="0">
                  <c:v>Fall 2010</c:v>
                </c:pt>
                <c:pt idx="1">
                  <c:v>Spring 2011</c:v>
                </c:pt>
                <c:pt idx="2">
                  <c:v>Fall 2011</c:v>
                </c:pt>
                <c:pt idx="3">
                  <c:v>Spring 2012</c:v>
                </c:pt>
                <c:pt idx="4">
                  <c:v>Fall 2012</c:v>
                </c:pt>
                <c:pt idx="5">
                  <c:v>Spring 2013</c:v>
                </c:pt>
              </c:strCache>
            </c:strRef>
          </c:cat>
          <c:val>
            <c:numRef>
              <c:f>Productivity!$C$3:$C$8</c:f>
              <c:numCache>
                <c:formatCode>General</c:formatCode>
                <c:ptCount val="6"/>
                <c:pt idx="0">
                  <c:v>616.25</c:v>
                </c:pt>
                <c:pt idx="1">
                  <c:v>578</c:v>
                </c:pt>
                <c:pt idx="2">
                  <c:v>552.5</c:v>
                </c:pt>
                <c:pt idx="3">
                  <c:v>497.25</c:v>
                </c:pt>
                <c:pt idx="4">
                  <c:v>548.25</c:v>
                </c:pt>
                <c:pt idx="5">
                  <c:v>488.75</c:v>
                </c:pt>
              </c:numCache>
            </c:numRef>
          </c:val>
        </c:ser>
        <c:dLbls>
          <c:showLegendKey val="0"/>
          <c:showVal val="0"/>
          <c:showCatName val="0"/>
          <c:showSerName val="0"/>
          <c:showPercent val="0"/>
          <c:showBubbleSize val="0"/>
        </c:dLbls>
        <c:gapWidth val="150"/>
        <c:axId val="63565184"/>
        <c:axId val="67986560"/>
      </c:barChart>
      <c:catAx>
        <c:axId val="63565184"/>
        <c:scaling>
          <c:orientation val="minMax"/>
        </c:scaling>
        <c:delete val="0"/>
        <c:axPos val="b"/>
        <c:majorTickMark val="out"/>
        <c:minorTickMark val="none"/>
        <c:tickLblPos val="nextTo"/>
        <c:crossAx val="67986560"/>
        <c:crosses val="autoZero"/>
        <c:auto val="1"/>
        <c:lblAlgn val="ctr"/>
        <c:lblOffset val="100"/>
        <c:noMultiLvlLbl val="0"/>
      </c:catAx>
      <c:valAx>
        <c:axId val="67986560"/>
        <c:scaling>
          <c:orientation val="minMax"/>
          <c:min val="350"/>
        </c:scaling>
        <c:delete val="0"/>
        <c:axPos val="l"/>
        <c:majorGridlines/>
        <c:title>
          <c:tx>
            <c:rich>
              <a:bodyPr rot="-5400000" vert="horz"/>
              <a:lstStyle/>
              <a:p>
                <a:pPr>
                  <a:defRPr/>
                </a:pPr>
                <a:r>
                  <a:rPr lang="en-US"/>
                  <a:t>WSCH/FTEF</a:t>
                </a:r>
              </a:p>
            </c:rich>
          </c:tx>
          <c:layout/>
          <c:overlay val="0"/>
        </c:title>
        <c:numFmt formatCode="General" sourceLinked="1"/>
        <c:majorTickMark val="out"/>
        <c:minorTickMark val="none"/>
        <c:tickLblPos val="nextTo"/>
        <c:crossAx val="6356518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Success</a:t>
            </a:r>
            <a:r>
              <a:rPr lang="en-US" baseline="0"/>
              <a:t> Rates</a:t>
            </a:r>
            <a:endParaRPr lang="en-US"/>
          </a:p>
        </c:rich>
      </c:tx>
      <c:layout/>
      <c:overlay val="0"/>
    </c:title>
    <c:autoTitleDeleted val="0"/>
    <c:plotArea>
      <c:layout/>
      <c:barChart>
        <c:barDir val="col"/>
        <c:grouping val="clustered"/>
        <c:varyColors val="0"/>
        <c:ser>
          <c:idx val="0"/>
          <c:order val="0"/>
          <c:tx>
            <c:strRef>
              <c:f>'Success and Retention'!$B$1</c:f>
              <c:strCache>
                <c:ptCount val="1"/>
                <c:pt idx="0">
                  <c:v>% Day</c:v>
                </c:pt>
              </c:strCache>
            </c:strRef>
          </c:tx>
          <c:invertIfNegative val="0"/>
          <c:cat>
            <c:strRef>
              <c:f>'Success and Retention'!$A$2:$A$11</c:f>
              <c:strCache>
                <c:ptCount val="10"/>
                <c:pt idx="0">
                  <c:v>CHEM 200</c:v>
                </c:pt>
                <c:pt idx="1">
                  <c:v>CHEM 202</c:v>
                </c:pt>
                <c:pt idx="2">
                  <c:v>MATH 192</c:v>
                </c:pt>
                <c:pt idx="3">
                  <c:v>MATH 194</c:v>
                </c:pt>
                <c:pt idx="4">
                  <c:v>ASTR 100</c:v>
                </c:pt>
                <c:pt idx="5">
                  <c:v>MATH 119</c:v>
                </c:pt>
                <c:pt idx="6">
                  <c:v>MATH 210</c:v>
                </c:pt>
                <c:pt idx="7">
                  <c:v>MATH 220</c:v>
                </c:pt>
                <c:pt idx="8">
                  <c:v>MATH 230</c:v>
                </c:pt>
                <c:pt idx="9">
                  <c:v>PHSC 110</c:v>
                </c:pt>
              </c:strCache>
            </c:strRef>
          </c:cat>
          <c:val>
            <c:numRef>
              <c:f>'Success and Retention'!$B$2:$B$11</c:f>
              <c:numCache>
                <c:formatCode>0</c:formatCode>
                <c:ptCount val="10"/>
                <c:pt idx="0">
                  <c:v>62.295081967213115</c:v>
                </c:pt>
                <c:pt idx="1">
                  <c:v>72.727272727272734</c:v>
                </c:pt>
                <c:pt idx="2">
                  <c:v>67.032967032967022</c:v>
                </c:pt>
                <c:pt idx="3">
                  <c:v>76.106194690265482</c:v>
                </c:pt>
                <c:pt idx="4">
                  <c:v>29.450915141430951</c:v>
                </c:pt>
                <c:pt idx="5">
                  <c:v>67.617107942973519</c:v>
                </c:pt>
                <c:pt idx="6">
                  <c:v>87.5</c:v>
                </c:pt>
                <c:pt idx="7">
                  <c:v>65.909090909090907</c:v>
                </c:pt>
                <c:pt idx="8" formatCode="General">
                  <c:v>61</c:v>
                </c:pt>
                <c:pt idx="9">
                  <c:v>48.632218844984806</c:v>
                </c:pt>
              </c:numCache>
            </c:numRef>
          </c:val>
        </c:ser>
        <c:ser>
          <c:idx val="1"/>
          <c:order val="1"/>
          <c:tx>
            <c:strRef>
              <c:f>'Success and Retention'!$C$1</c:f>
              <c:strCache>
                <c:ptCount val="1"/>
                <c:pt idx="0">
                  <c:v>% Night</c:v>
                </c:pt>
              </c:strCache>
            </c:strRef>
          </c:tx>
          <c:invertIfNegative val="0"/>
          <c:cat>
            <c:strRef>
              <c:f>'Success and Retention'!$A$2:$A$11</c:f>
              <c:strCache>
                <c:ptCount val="10"/>
                <c:pt idx="0">
                  <c:v>CHEM 200</c:v>
                </c:pt>
                <c:pt idx="1">
                  <c:v>CHEM 202</c:v>
                </c:pt>
                <c:pt idx="2">
                  <c:v>MATH 192</c:v>
                </c:pt>
                <c:pt idx="3">
                  <c:v>MATH 194</c:v>
                </c:pt>
                <c:pt idx="4">
                  <c:v>ASTR 100</c:v>
                </c:pt>
                <c:pt idx="5">
                  <c:v>MATH 119</c:v>
                </c:pt>
                <c:pt idx="6">
                  <c:v>MATH 210</c:v>
                </c:pt>
                <c:pt idx="7">
                  <c:v>MATH 220</c:v>
                </c:pt>
                <c:pt idx="8">
                  <c:v>MATH 230</c:v>
                </c:pt>
                <c:pt idx="9">
                  <c:v>PHSC 110</c:v>
                </c:pt>
              </c:strCache>
            </c:strRef>
          </c:cat>
          <c:val>
            <c:numRef>
              <c:f>'Success and Retention'!$C$2:$C$11</c:f>
              <c:numCache>
                <c:formatCode>General</c:formatCode>
                <c:ptCount val="10"/>
                <c:pt idx="0">
                  <c:v>48</c:v>
                </c:pt>
                <c:pt idx="1">
                  <c:v>74</c:v>
                </c:pt>
                <c:pt idx="2" formatCode="0">
                  <c:v>54.54545454545454</c:v>
                </c:pt>
                <c:pt idx="3" formatCode="0">
                  <c:v>66.666666666666657</c:v>
                </c:pt>
                <c:pt idx="4" formatCode="0">
                  <c:v>28.654970760233915</c:v>
                </c:pt>
                <c:pt idx="5" formatCode="0">
                  <c:v>49.622641509433961</c:v>
                </c:pt>
                <c:pt idx="7">
                  <c:v>96</c:v>
                </c:pt>
                <c:pt idx="8">
                  <c:v>77</c:v>
                </c:pt>
                <c:pt idx="9">
                  <c:v>43</c:v>
                </c:pt>
              </c:numCache>
            </c:numRef>
          </c:val>
        </c:ser>
        <c:ser>
          <c:idx val="2"/>
          <c:order val="2"/>
          <c:tx>
            <c:strRef>
              <c:f>'Success and Retention'!$D$1</c:f>
              <c:strCache>
                <c:ptCount val="1"/>
                <c:pt idx="0">
                  <c:v>% OL</c:v>
                </c:pt>
              </c:strCache>
            </c:strRef>
          </c:tx>
          <c:invertIfNegative val="0"/>
          <c:cat>
            <c:strRef>
              <c:f>'Success and Retention'!$A$2:$A$11</c:f>
              <c:strCache>
                <c:ptCount val="10"/>
                <c:pt idx="0">
                  <c:v>CHEM 200</c:v>
                </c:pt>
                <c:pt idx="1">
                  <c:v>CHEM 202</c:v>
                </c:pt>
                <c:pt idx="2">
                  <c:v>MATH 192</c:v>
                </c:pt>
                <c:pt idx="3">
                  <c:v>MATH 194</c:v>
                </c:pt>
                <c:pt idx="4">
                  <c:v>ASTR 100</c:v>
                </c:pt>
                <c:pt idx="5">
                  <c:v>MATH 119</c:v>
                </c:pt>
                <c:pt idx="6">
                  <c:v>MATH 210</c:v>
                </c:pt>
                <c:pt idx="7">
                  <c:v>MATH 220</c:v>
                </c:pt>
                <c:pt idx="8">
                  <c:v>MATH 230</c:v>
                </c:pt>
                <c:pt idx="9">
                  <c:v>PHSC 110</c:v>
                </c:pt>
              </c:strCache>
            </c:strRef>
          </c:cat>
          <c:val>
            <c:numRef>
              <c:f>'Success and Retention'!$D$2:$D$11</c:f>
              <c:numCache>
                <c:formatCode>General</c:formatCode>
                <c:ptCount val="10"/>
                <c:pt idx="5" formatCode="0">
                  <c:v>79.72027972027972</c:v>
                </c:pt>
              </c:numCache>
            </c:numRef>
          </c:val>
        </c:ser>
        <c:dLbls>
          <c:showLegendKey val="0"/>
          <c:showVal val="0"/>
          <c:showCatName val="0"/>
          <c:showSerName val="0"/>
          <c:showPercent val="0"/>
          <c:showBubbleSize val="0"/>
        </c:dLbls>
        <c:gapWidth val="150"/>
        <c:axId val="75254784"/>
        <c:axId val="75268864"/>
      </c:barChart>
      <c:catAx>
        <c:axId val="75254784"/>
        <c:scaling>
          <c:orientation val="minMax"/>
        </c:scaling>
        <c:delete val="0"/>
        <c:axPos val="b"/>
        <c:majorTickMark val="out"/>
        <c:minorTickMark val="none"/>
        <c:tickLblPos val="nextTo"/>
        <c:crossAx val="75268864"/>
        <c:crosses val="autoZero"/>
        <c:auto val="1"/>
        <c:lblAlgn val="ctr"/>
        <c:lblOffset val="100"/>
        <c:noMultiLvlLbl val="0"/>
      </c:catAx>
      <c:valAx>
        <c:axId val="75268864"/>
        <c:scaling>
          <c:orientation val="minMax"/>
          <c:max val="100"/>
          <c:min val="20"/>
        </c:scaling>
        <c:delete val="0"/>
        <c:axPos val="l"/>
        <c:majorGridlines/>
        <c:title>
          <c:tx>
            <c:rich>
              <a:bodyPr rot="-5400000" vert="horz"/>
              <a:lstStyle/>
              <a:p>
                <a:pPr>
                  <a:defRPr/>
                </a:pPr>
                <a:r>
                  <a:rPr lang="en-US"/>
                  <a:t>% Success</a:t>
                </a:r>
              </a:p>
            </c:rich>
          </c:tx>
          <c:layout/>
          <c:overlay val="0"/>
        </c:title>
        <c:numFmt formatCode="0" sourceLinked="1"/>
        <c:majorTickMark val="out"/>
        <c:minorTickMark val="none"/>
        <c:tickLblPos val="nextTo"/>
        <c:crossAx val="7525478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Retention Rates</a:t>
            </a:r>
          </a:p>
        </c:rich>
      </c:tx>
      <c:layout/>
      <c:overlay val="0"/>
    </c:title>
    <c:autoTitleDeleted val="0"/>
    <c:plotArea>
      <c:layout/>
      <c:barChart>
        <c:barDir val="col"/>
        <c:grouping val="clustered"/>
        <c:varyColors val="0"/>
        <c:ser>
          <c:idx val="0"/>
          <c:order val="0"/>
          <c:tx>
            <c:strRef>
              <c:f>'Success and Retention'!$F$1</c:f>
              <c:strCache>
                <c:ptCount val="1"/>
                <c:pt idx="0">
                  <c:v>% Day</c:v>
                </c:pt>
              </c:strCache>
            </c:strRef>
          </c:tx>
          <c:invertIfNegative val="0"/>
          <c:cat>
            <c:strRef>
              <c:f>'Success and Retention'!$E$2:$E$11</c:f>
              <c:strCache>
                <c:ptCount val="10"/>
                <c:pt idx="0">
                  <c:v>CHEM 200</c:v>
                </c:pt>
                <c:pt idx="1">
                  <c:v>CHEM 202</c:v>
                </c:pt>
                <c:pt idx="2">
                  <c:v>MATH 192</c:v>
                </c:pt>
                <c:pt idx="3">
                  <c:v>MATH 194</c:v>
                </c:pt>
                <c:pt idx="4">
                  <c:v>ASTR 100</c:v>
                </c:pt>
                <c:pt idx="5">
                  <c:v>MATH 119</c:v>
                </c:pt>
                <c:pt idx="6">
                  <c:v>MATH 210</c:v>
                </c:pt>
                <c:pt idx="7">
                  <c:v>MATH 220</c:v>
                </c:pt>
                <c:pt idx="8">
                  <c:v>MATH 230</c:v>
                </c:pt>
                <c:pt idx="9">
                  <c:v>PHSC 110</c:v>
                </c:pt>
              </c:strCache>
            </c:strRef>
          </c:cat>
          <c:val>
            <c:numRef>
              <c:f>'Success and Retention'!$F$2:$F$11</c:f>
              <c:numCache>
                <c:formatCode>General</c:formatCode>
                <c:ptCount val="10"/>
                <c:pt idx="0" formatCode="0">
                  <c:v>82.786885245901644</c:v>
                </c:pt>
                <c:pt idx="1">
                  <c:v>80</c:v>
                </c:pt>
                <c:pt idx="2" formatCode="0">
                  <c:v>81.868131868131869</c:v>
                </c:pt>
                <c:pt idx="3" formatCode="0">
                  <c:v>88.495575221238937</c:v>
                </c:pt>
                <c:pt idx="4" formatCode="0">
                  <c:v>55.574043261231274</c:v>
                </c:pt>
                <c:pt idx="5" formatCode="0">
                  <c:v>82.484725050916495</c:v>
                </c:pt>
                <c:pt idx="6" formatCode="0">
                  <c:v>95.833333333333343</c:v>
                </c:pt>
                <c:pt idx="7">
                  <c:v>75</c:v>
                </c:pt>
                <c:pt idx="8" formatCode="0">
                  <c:v>70.967741935483872</c:v>
                </c:pt>
                <c:pt idx="9" formatCode="0">
                  <c:v>64.437689969604861</c:v>
                </c:pt>
              </c:numCache>
            </c:numRef>
          </c:val>
        </c:ser>
        <c:ser>
          <c:idx val="1"/>
          <c:order val="1"/>
          <c:tx>
            <c:strRef>
              <c:f>'Success and Retention'!$G$1</c:f>
              <c:strCache>
                <c:ptCount val="1"/>
                <c:pt idx="0">
                  <c:v>% Night</c:v>
                </c:pt>
              </c:strCache>
            </c:strRef>
          </c:tx>
          <c:invertIfNegative val="0"/>
          <c:cat>
            <c:strRef>
              <c:f>'Success and Retention'!$E$2:$E$11</c:f>
              <c:strCache>
                <c:ptCount val="10"/>
                <c:pt idx="0">
                  <c:v>CHEM 200</c:v>
                </c:pt>
                <c:pt idx="1">
                  <c:v>CHEM 202</c:v>
                </c:pt>
                <c:pt idx="2">
                  <c:v>MATH 192</c:v>
                </c:pt>
                <c:pt idx="3">
                  <c:v>MATH 194</c:v>
                </c:pt>
                <c:pt idx="4">
                  <c:v>ASTR 100</c:v>
                </c:pt>
                <c:pt idx="5">
                  <c:v>MATH 119</c:v>
                </c:pt>
                <c:pt idx="6">
                  <c:v>MATH 210</c:v>
                </c:pt>
                <c:pt idx="7">
                  <c:v>MATH 220</c:v>
                </c:pt>
                <c:pt idx="8">
                  <c:v>MATH 230</c:v>
                </c:pt>
                <c:pt idx="9">
                  <c:v>PHSC 110</c:v>
                </c:pt>
              </c:strCache>
            </c:strRef>
          </c:cat>
          <c:val>
            <c:numRef>
              <c:f>'Success and Retention'!$G$2:$G$11</c:f>
              <c:numCache>
                <c:formatCode>General</c:formatCode>
                <c:ptCount val="10"/>
                <c:pt idx="0">
                  <c:v>76</c:v>
                </c:pt>
                <c:pt idx="1">
                  <c:v>100</c:v>
                </c:pt>
                <c:pt idx="2" formatCode="0">
                  <c:v>80.808080808080803</c:v>
                </c:pt>
                <c:pt idx="3">
                  <c:v>85</c:v>
                </c:pt>
                <c:pt idx="4" formatCode="0">
                  <c:v>44.444444444444443</c:v>
                </c:pt>
                <c:pt idx="5" formatCode="0">
                  <c:v>79.622641509433961</c:v>
                </c:pt>
                <c:pt idx="7">
                  <c:v>100</c:v>
                </c:pt>
                <c:pt idx="8" formatCode="0">
                  <c:v>96.15384615384616</c:v>
                </c:pt>
                <c:pt idx="9">
                  <c:v>57</c:v>
                </c:pt>
              </c:numCache>
            </c:numRef>
          </c:val>
        </c:ser>
        <c:ser>
          <c:idx val="2"/>
          <c:order val="2"/>
          <c:tx>
            <c:strRef>
              <c:f>'Success and Retention'!$H$1</c:f>
              <c:strCache>
                <c:ptCount val="1"/>
                <c:pt idx="0">
                  <c:v>% OL</c:v>
                </c:pt>
              </c:strCache>
            </c:strRef>
          </c:tx>
          <c:invertIfNegative val="0"/>
          <c:cat>
            <c:strRef>
              <c:f>'Success and Retention'!$E$2:$E$11</c:f>
              <c:strCache>
                <c:ptCount val="10"/>
                <c:pt idx="0">
                  <c:v>CHEM 200</c:v>
                </c:pt>
                <c:pt idx="1">
                  <c:v>CHEM 202</c:v>
                </c:pt>
                <c:pt idx="2">
                  <c:v>MATH 192</c:v>
                </c:pt>
                <c:pt idx="3">
                  <c:v>MATH 194</c:v>
                </c:pt>
                <c:pt idx="4">
                  <c:v>ASTR 100</c:v>
                </c:pt>
                <c:pt idx="5">
                  <c:v>MATH 119</c:v>
                </c:pt>
                <c:pt idx="6">
                  <c:v>MATH 210</c:v>
                </c:pt>
                <c:pt idx="7">
                  <c:v>MATH 220</c:v>
                </c:pt>
                <c:pt idx="8">
                  <c:v>MATH 230</c:v>
                </c:pt>
                <c:pt idx="9">
                  <c:v>PHSC 110</c:v>
                </c:pt>
              </c:strCache>
            </c:strRef>
          </c:cat>
          <c:val>
            <c:numRef>
              <c:f>'Success and Retention'!$H$2:$H$11</c:f>
              <c:numCache>
                <c:formatCode>General</c:formatCode>
                <c:ptCount val="10"/>
                <c:pt idx="5" formatCode="0">
                  <c:v>86.713286713286706</c:v>
                </c:pt>
              </c:numCache>
            </c:numRef>
          </c:val>
        </c:ser>
        <c:dLbls>
          <c:showLegendKey val="0"/>
          <c:showVal val="0"/>
          <c:showCatName val="0"/>
          <c:showSerName val="0"/>
          <c:showPercent val="0"/>
          <c:showBubbleSize val="0"/>
        </c:dLbls>
        <c:gapWidth val="150"/>
        <c:axId val="75291264"/>
        <c:axId val="75366784"/>
      </c:barChart>
      <c:catAx>
        <c:axId val="75291264"/>
        <c:scaling>
          <c:orientation val="minMax"/>
        </c:scaling>
        <c:delete val="0"/>
        <c:axPos val="b"/>
        <c:majorTickMark val="out"/>
        <c:minorTickMark val="none"/>
        <c:tickLblPos val="nextTo"/>
        <c:crossAx val="75366784"/>
        <c:crosses val="autoZero"/>
        <c:auto val="1"/>
        <c:lblAlgn val="ctr"/>
        <c:lblOffset val="100"/>
        <c:noMultiLvlLbl val="0"/>
      </c:catAx>
      <c:valAx>
        <c:axId val="75366784"/>
        <c:scaling>
          <c:orientation val="minMax"/>
          <c:max val="100"/>
          <c:min val="20"/>
        </c:scaling>
        <c:delete val="0"/>
        <c:axPos val="l"/>
        <c:majorGridlines/>
        <c:title>
          <c:tx>
            <c:rich>
              <a:bodyPr rot="-5400000" vert="horz"/>
              <a:lstStyle/>
              <a:p>
                <a:pPr>
                  <a:defRPr/>
                </a:pPr>
                <a:r>
                  <a:rPr lang="en-US"/>
                  <a:t>% Retention</a:t>
                </a:r>
              </a:p>
            </c:rich>
          </c:tx>
          <c:layout/>
          <c:overlay val="0"/>
        </c:title>
        <c:numFmt formatCode="0" sourceLinked="1"/>
        <c:majorTickMark val="out"/>
        <c:minorTickMark val="none"/>
        <c:tickLblPos val="nextTo"/>
        <c:crossAx val="7529126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PHSC</a:t>
            </a:r>
            <a:r>
              <a:rPr lang="en-US" baseline="0"/>
              <a:t> 110 Ethnic Data</a:t>
            </a:r>
            <a:endParaRPr lang="en-US"/>
          </a:p>
        </c:rich>
      </c:tx>
      <c:layout/>
      <c:overlay val="0"/>
    </c:title>
    <c:autoTitleDeleted val="0"/>
    <c:plotArea>
      <c:layout>
        <c:manualLayout>
          <c:layoutTarget val="inner"/>
          <c:xMode val="edge"/>
          <c:yMode val="edge"/>
          <c:x val="0.17697977893608369"/>
          <c:y val="0.24499306582310398"/>
          <c:w val="0.64029432976283374"/>
          <c:h val="0.60914577817510807"/>
        </c:manualLayout>
      </c:layout>
      <c:barChart>
        <c:barDir val="col"/>
        <c:grouping val="clustered"/>
        <c:varyColors val="0"/>
        <c:ser>
          <c:idx val="0"/>
          <c:order val="0"/>
          <c:tx>
            <c:strRef>
              <c:f>Ethnicity!$V$2</c:f>
              <c:strCache>
                <c:ptCount val="1"/>
                <c:pt idx="0">
                  <c:v>% Success</c:v>
                </c:pt>
              </c:strCache>
            </c:strRef>
          </c:tx>
          <c:invertIfNegative val="0"/>
          <c:cat>
            <c:strRef>
              <c:f>Ethnicity!$U$3:$U$7</c:f>
              <c:strCache>
                <c:ptCount val="5"/>
                <c:pt idx="0">
                  <c:v>AA</c:v>
                </c:pt>
                <c:pt idx="1">
                  <c:v>White</c:v>
                </c:pt>
                <c:pt idx="2">
                  <c:v>Hisp</c:v>
                </c:pt>
                <c:pt idx="3">
                  <c:v>Other</c:v>
                </c:pt>
                <c:pt idx="4">
                  <c:v>UNK</c:v>
                </c:pt>
              </c:strCache>
            </c:strRef>
          </c:cat>
          <c:val>
            <c:numRef>
              <c:f>Ethnicity!$V$3:$V$7</c:f>
              <c:numCache>
                <c:formatCode>General</c:formatCode>
                <c:ptCount val="5"/>
                <c:pt idx="0">
                  <c:v>0</c:v>
                </c:pt>
                <c:pt idx="1">
                  <c:v>43</c:v>
                </c:pt>
                <c:pt idx="2">
                  <c:v>48</c:v>
                </c:pt>
                <c:pt idx="4">
                  <c:v>50</c:v>
                </c:pt>
              </c:numCache>
            </c:numRef>
          </c:val>
        </c:ser>
        <c:ser>
          <c:idx val="1"/>
          <c:order val="1"/>
          <c:tx>
            <c:strRef>
              <c:f>Ethnicity!$W$2</c:f>
              <c:strCache>
                <c:ptCount val="1"/>
                <c:pt idx="0">
                  <c:v>% Retention</c:v>
                </c:pt>
              </c:strCache>
            </c:strRef>
          </c:tx>
          <c:invertIfNegative val="0"/>
          <c:cat>
            <c:strRef>
              <c:f>Ethnicity!$U$3:$U$7</c:f>
              <c:strCache>
                <c:ptCount val="5"/>
                <c:pt idx="0">
                  <c:v>AA</c:v>
                </c:pt>
                <c:pt idx="1">
                  <c:v>White</c:v>
                </c:pt>
                <c:pt idx="2">
                  <c:v>Hisp</c:v>
                </c:pt>
                <c:pt idx="3">
                  <c:v>Other</c:v>
                </c:pt>
                <c:pt idx="4">
                  <c:v>UNK</c:v>
                </c:pt>
              </c:strCache>
            </c:strRef>
          </c:cat>
          <c:val>
            <c:numRef>
              <c:f>Ethnicity!$W$3:$W$7</c:f>
              <c:numCache>
                <c:formatCode>General</c:formatCode>
                <c:ptCount val="5"/>
                <c:pt idx="0">
                  <c:v>0</c:v>
                </c:pt>
                <c:pt idx="1">
                  <c:v>43</c:v>
                </c:pt>
                <c:pt idx="2">
                  <c:v>65</c:v>
                </c:pt>
                <c:pt idx="4">
                  <c:v>55</c:v>
                </c:pt>
              </c:numCache>
            </c:numRef>
          </c:val>
        </c:ser>
        <c:dLbls>
          <c:showLegendKey val="0"/>
          <c:showVal val="0"/>
          <c:showCatName val="0"/>
          <c:showSerName val="0"/>
          <c:showPercent val="0"/>
          <c:showBubbleSize val="0"/>
        </c:dLbls>
        <c:gapWidth val="150"/>
        <c:axId val="75396608"/>
        <c:axId val="75398144"/>
      </c:barChart>
      <c:catAx>
        <c:axId val="75396608"/>
        <c:scaling>
          <c:orientation val="minMax"/>
        </c:scaling>
        <c:delete val="0"/>
        <c:axPos val="b"/>
        <c:majorTickMark val="out"/>
        <c:minorTickMark val="none"/>
        <c:tickLblPos val="nextTo"/>
        <c:crossAx val="75398144"/>
        <c:crosses val="autoZero"/>
        <c:auto val="1"/>
        <c:lblAlgn val="ctr"/>
        <c:lblOffset val="100"/>
        <c:noMultiLvlLbl val="0"/>
      </c:catAx>
      <c:valAx>
        <c:axId val="75398144"/>
        <c:scaling>
          <c:orientation val="minMax"/>
        </c:scaling>
        <c:delete val="0"/>
        <c:axPos val="l"/>
        <c:majorGridlines/>
        <c:title>
          <c:tx>
            <c:rich>
              <a:bodyPr rot="-5400000" vert="horz"/>
              <a:lstStyle/>
              <a:p>
                <a:pPr>
                  <a:defRPr/>
                </a:pPr>
                <a:r>
                  <a:rPr lang="en-US"/>
                  <a:t>% Studenst</a:t>
                </a:r>
              </a:p>
            </c:rich>
          </c:tx>
          <c:layout/>
          <c:overlay val="0"/>
        </c:title>
        <c:numFmt formatCode="General" sourceLinked="1"/>
        <c:majorTickMark val="out"/>
        <c:minorTickMark val="none"/>
        <c:tickLblPos val="nextTo"/>
        <c:crossAx val="75396608"/>
        <c:crosses val="autoZero"/>
        <c:crossBetween val="between"/>
      </c:valAx>
    </c:plotArea>
    <c:legend>
      <c:legendPos val="r"/>
      <c:layout>
        <c:manualLayout>
          <c:xMode val="edge"/>
          <c:yMode val="edge"/>
          <c:x val="0.74641619966423112"/>
          <c:y val="0.15883322444956391"/>
          <c:w val="0.24983004658201508"/>
          <c:h val="0.21057249939827391"/>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ASTR 110 Ethinc Data</a:t>
            </a:r>
          </a:p>
        </c:rich>
      </c:tx>
      <c:layout/>
      <c:overlay val="0"/>
    </c:title>
    <c:autoTitleDeleted val="0"/>
    <c:plotArea>
      <c:layout>
        <c:manualLayout>
          <c:layoutTarget val="inner"/>
          <c:xMode val="edge"/>
          <c:yMode val="edge"/>
          <c:x val="0.19602203245721045"/>
          <c:y val="0.24499306582310398"/>
          <c:w val="0.60283346271856864"/>
          <c:h val="0.60914577817510807"/>
        </c:manualLayout>
      </c:layout>
      <c:barChart>
        <c:barDir val="col"/>
        <c:grouping val="clustered"/>
        <c:varyColors val="0"/>
        <c:ser>
          <c:idx val="0"/>
          <c:order val="0"/>
          <c:tx>
            <c:strRef>
              <c:f>Ethnicity!$V$22</c:f>
              <c:strCache>
                <c:ptCount val="1"/>
                <c:pt idx="0">
                  <c:v>% Success</c:v>
                </c:pt>
              </c:strCache>
            </c:strRef>
          </c:tx>
          <c:invertIfNegative val="0"/>
          <c:cat>
            <c:strRef>
              <c:f>Ethnicity!$U$23:$U$27</c:f>
              <c:strCache>
                <c:ptCount val="5"/>
                <c:pt idx="0">
                  <c:v>AA</c:v>
                </c:pt>
                <c:pt idx="1">
                  <c:v>White</c:v>
                </c:pt>
                <c:pt idx="2">
                  <c:v>Hisp</c:v>
                </c:pt>
                <c:pt idx="3">
                  <c:v>Other</c:v>
                </c:pt>
                <c:pt idx="4">
                  <c:v>UNK</c:v>
                </c:pt>
              </c:strCache>
            </c:strRef>
          </c:cat>
          <c:val>
            <c:numRef>
              <c:f>Ethnicity!$V$23:$V$27</c:f>
              <c:numCache>
                <c:formatCode>General</c:formatCode>
                <c:ptCount val="5"/>
                <c:pt idx="0">
                  <c:v>100</c:v>
                </c:pt>
                <c:pt idx="1">
                  <c:v>41</c:v>
                </c:pt>
                <c:pt idx="2">
                  <c:v>29</c:v>
                </c:pt>
                <c:pt idx="3">
                  <c:v>50</c:v>
                </c:pt>
                <c:pt idx="4">
                  <c:v>26</c:v>
                </c:pt>
              </c:numCache>
            </c:numRef>
          </c:val>
        </c:ser>
        <c:ser>
          <c:idx val="1"/>
          <c:order val="1"/>
          <c:tx>
            <c:strRef>
              <c:f>Ethnicity!$W$22</c:f>
              <c:strCache>
                <c:ptCount val="1"/>
                <c:pt idx="0">
                  <c:v>% Retention</c:v>
                </c:pt>
              </c:strCache>
            </c:strRef>
          </c:tx>
          <c:invertIfNegative val="0"/>
          <c:cat>
            <c:strRef>
              <c:f>Ethnicity!$U$23:$U$27</c:f>
              <c:strCache>
                <c:ptCount val="5"/>
                <c:pt idx="0">
                  <c:v>AA</c:v>
                </c:pt>
                <c:pt idx="1">
                  <c:v>White</c:v>
                </c:pt>
                <c:pt idx="2">
                  <c:v>Hisp</c:v>
                </c:pt>
                <c:pt idx="3">
                  <c:v>Other</c:v>
                </c:pt>
                <c:pt idx="4">
                  <c:v>UNK</c:v>
                </c:pt>
              </c:strCache>
            </c:strRef>
          </c:cat>
          <c:val>
            <c:numRef>
              <c:f>Ethnicity!$W$23:$W$27</c:f>
              <c:numCache>
                <c:formatCode>General</c:formatCode>
                <c:ptCount val="5"/>
                <c:pt idx="0">
                  <c:v>100</c:v>
                </c:pt>
                <c:pt idx="1">
                  <c:v>55</c:v>
                </c:pt>
                <c:pt idx="2">
                  <c:v>53</c:v>
                </c:pt>
                <c:pt idx="3">
                  <c:v>50</c:v>
                </c:pt>
                <c:pt idx="4">
                  <c:v>50</c:v>
                </c:pt>
              </c:numCache>
            </c:numRef>
          </c:val>
        </c:ser>
        <c:dLbls>
          <c:showLegendKey val="0"/>
          <c:showVal val="0"/>
          <c:showCatName val="0"/>
          <c:showSerName val="0"/>
          <c:showPercent val="0"/>
          <c:showBubbleSize val="0"/>
        </c:dLbls>
        <c:gapWidth val="150"/>
        <c:axId val="81528320"/>
        <c:axId val="81529856"/>
      </c:barChart>
      <c:catAx>
        <c:axId val="81528320"/>
        <c:scaling>
          <c:orientation val="minMax"/>
        </c:scaling>
        <c:delete val="0"/>
        <c:axPos val="b"/>
        <c:majorTickMark val="out"/>
        <c:minorTickMark val="none"/>
        <c:tickLblPos val="nextTo"/>
        <c:crossAx val="81529856"/>
        <c:crosses val="autoZero"/>
        <c:auto val="1"/>
        <c:lblAlgn val="ctr"/>
        <c:lblOffset val="100"/>
        <c:noMultiLvlLbl val="0"/>
      </c:catAx>
      <c:valAx>
        <c:axId val="81529856"/>
        <c:scaling>
          <c:orientation val="minMax"/>
        </c:scaling>
        <c:delete val="0"/>
        <c:axPos val="l"/>
        <c:majorGridlines/>
        <c:title>
          <c:tx>
            <c:rich>
              <a:bodyPr rot="-5400000" vert="horz"/>
              <a:lstStyle/>
              <a:p>
                <a:pPr>
                  <a:defRPr/>
                </a:pPr>
                <a:r>
                  <a:rPr lang="en-US"/>
                  <a:t>% Student</a:t>
                </a:r>
              </a:p>
            </c:rich>
          </c:tx>
          <c:layout/>
          <c:overlay val="0"/>
        </c:title>
        <c:numFmt formatCode="General" sourceLinked="1"/>
        <c:majorTickMark val="out"/>
        <c:minorTickMark val="none"/>
        <c:tickLblPos val="nextTo"/>
        <c:crossAx val="81528320"/>
        <c:crosses val="autoZero"/>
        <c:crossBetween val="between"/>
      </c:valAx>
    </c:plotArea>
    <c:legend>
      <c:legendPos val="r"/>
      <c:layout>
        <c:manualLayout>
          <c:xMode val="edge"/>
          <c:yMode val="edge"/>
          <c:x val="0.73500572991756308"/>
          <c:y val="0.17630047335786087"/>
          <c:w val="0.24997079590403312"/>
          <c:h val="0.21057249939827391"/>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AEF7E-01C4-46EF-811B-8D5F4A09D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2311</Words>
  <Characters>13176</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Tina Aguirre</cp:lastModifiedBy>
  <cp:revision>2</cp:revision>
  <cp:lastPrinted>2013-11-14T21:50:00Z</cp:lastPrinted>
  <dcterms:created xsi:type="dcterms:W3CDTF">2014-03-05T21:13:00Z</dcterms:created>
  <dcterms:modified xsi:type="dcterms:W3CDTF">2014-03-05T21:13:00Z</dcterms:modified>
</cp:coreProperties>
</file>