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41569F" w:rsidP="00043E27">
      <w:pPr>
        <w:spacing w:after="0" w:line="240" w:lineRule="auto"/>
        <w:ind w:firstLine="720"/>
        <w:jc w:val="center"/>
        <w:rPr>
          <w:rFonts w:ascii="Plump MT" w:hAnsi="Plump MT"/>
          <w:sz w:val="52"/>
          <w:szCs w:val="52"/>
        </w:rPr>
      </w:pPr>
      <w:r>
        <w:rPr>
          <w:rFonts w:ascii="Plump MT" w:hAnsi="Plump MT"/>
          <w:noProof/>
          <w:sz w:val="52"/>
          <w:szCs w:val="52"/>
        </w:rPr>
        <mc:AlternateContent>
          <mc:Choice Requires="wps">
            <w:drawing>
              <wp:anchor distT="0" distB="0" distL="114300" distR="114300" simplePos="0" relativeHeight="251657728" behindDoc="1" locked="0" layoutInCell="1" allowOverlap="1">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8C11BF" w:rsidRDefault="008C11BF">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8C11BF" w:rsidRDefault="008C11BF">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733C7B" w:rsidP="007E4294">
            <w:pPr>
              <w:rPr>
                <w:sz w:val="24"/>
                <w:szCs w:val="24"/>
              </w:rPr>
            </w:pPr>
            <w:r>
              <w:rPr>
                <w:sz w:val="24"/>
                <w:szCs w:val="24"/>
              </w:rPr>
              <w:t>2013-2014</w:t>
            </w:r>
          </w:p>
        </w:tc>
        <w:tc>
          <w:tcPr>
            <w:tcW w:w="6912" w:type="dxa"/>
            <w:vAlign w:val="center"/>
          </w:tcPr>
          <w:p w:rsidR="000403F6" w:rsidRDefault="00A05706" w:rsidP="00A05706">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046042">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046042">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591D3B"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00591D3B" w:rsidRPr="003B17D4">
              <w:rPr>
                <w:sz w:val="24"/>
                <w:szCs w:val="24"/>
              </w:rPr>
            </w:r>
            <w:r w:rsidR="00591D3B" w:rsidRPr="003B17D4">
              <w:rPr>
                <w:sz w:val="24"/>
                <w:szCs w:val="24"/>
              </w:rPr>
              <w:fldChar w:fldCharType="end"/>
            </w:r>
            <w:r w:rsidR="00046042">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733C7B" w:rsidP="004B7383">
            <w:pPr>
              <w:rPr>
                <w:sz w:val="24"/>
                <w:szCs w:val="24"/>
              </w:rPr>
            </w:pPr>
            <w:r>
              <w:rPr>
                <w:sz w:val="24"/>
                <w:szCs w:val="24"/>
              </w:rPr>
              <w:t>Mathematics</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bookmarkStart w:id="0" w:name="Dropdown2"/>
        <w:tc>
          <w:tcPr>
            <w:tcW w:w="10350" w:type="dxa"/>
            <w:gridSpan w:val="2"/>
            <w:vAlign w:val="center"/>
          </w:tcPr>
          <w:p w:rsidR="000403F6" w:rsidRPr="001C394F" w:rsidRDefault="00591D3B" w:rsidP="004B7383">
            <w:pPr>
              <w:rPr>
                <w:sz w:val="24"/>
                <w:szCs w:val="24"/>
              </w:rPr>
            </w:pPr>
            <w:r>
              <w:rPr>
                <w:sz w:val="24"/>
                <w:szCs w:val="24"/>
              </w:rPr>
              <w:fldChar w:fldCharType="begin">
                <w:ffData>
                  <w:name w:val="Dropdown2"/>
                  <w:enabled/>
                  <w:calcOnExit w:val="0"/>
                  <w:ddList>
                    <w:listEntry w:val="Science, Math, and Engineering"/>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World Languages and Communication"/>
                    <w:listEntry w:val="Learning Services"/>
                  </w:ddList>
                </w:ffData>
              </w:fldChar>
            </w:r>
            <w:r w:rsidR="00733C7B">
              <w:rPr>
                <w:sz w:val="24"/>
                <w:szCs w:val="24"/>
              </w:rPr>
              <w:instrText xml:space="preserve"> FORMDROPDOWN </w:instrText>
            </w:r>
            <w:r>
              <w:rPr>
                <w:sz w:val="24"/>
                <w:szCs w:val="24"/>
              </w:rPr>
            </w:r>
            <w:r>
              <w:rPr>
                <w:sz w:val="24"/>
                <w:szCs w:val="24"/>
              </w:rPr>
              <w:fldChar w:fldCharType="end"/>
            </w:r>
            <w:bookmarkEnd w:id="0"/>
          </w:p>
        </w:tc>
      </w:tr>
      <w:tr w:rsidR="000403F6" w:rsidTr="004B7383">
        <w:tc>
          <w:tcPr>
            <w:tcW w:w="2610" w:type="dxa"/>
            <w:vAlign w:val="center"/>
          </w:tcPr>
          <w:p w:rsidR="000403F6" w:rsidRDefault="000403F6" w:rsidP="00AE599F">
            <w:pPr>
              <w:rPr>
                <w:b/>
                <w:sz w:val="32"/>
                <w:szCs w:val="32"/>
              </w:rPr>
            </w:pPr>
            <w:r>
              <w:rPr>
                <w:b/>
                <w:sz w:val="32"/>
                <w:szCs w:val="32"/>
              </w:rPr>
              <w:t>DIVISION</w:t>
            </w:r>
          </w:p>
        </w:tc>
        <w:bookmarkStart w:id="1" w:name="Dropdown1"/>
        <w:tc>
          <w:tcPr>
            <w:tcW w:w="10350" w:type="dxa"/>
            <w:gridSpan w:val="2"/>
            <w:vAlign w:val="center"/>
          </w:tcPr>
          <w:p w:rsidR="000403F6" w:rsidRPr="001C394F" w:rsidRDefault="00591D3B" w:rsidP="004B7383">
            <w:pPr>
              <w:rPr>
                <w:sz w:val="24"/>
                <w:szCs w:val="24"/>
              </w:rPr>
            </w:pPr>
            <w:r>
              <w:rPr>
                <w:sz w:val="24"/>
                <w:szCs w:val="24"/>
              </w:rPr>
              <w:fldChar w:fldCharType="begin">
                <w:ffData>
                  <w:name w:val="Dropdown1"/>
                  <w:enabled/>
                  <w:calcOnExit w:val="0"/>
                  <w:ddList>
                    <w:listEntry w:val="Health and Science"/>
                    <w:listEntry w:val="Division"/>
                    <w:listEntry w:val="Arts &amp; Letters and Learning Services"/>
                    <w:listEntry w:val="Economic and Workforce Development"/>
                    <w:listEntry w:val="Other: Counseling"/>
                  </w:ddList>
                </w:ffData>
              </w:fldChar>
            </w:r>
            <w:r w:rsidR="00733C7B">
              <w:rPr>
                <w:sz w:val="24"/>
                <w:szCs w:val="24"/>
              </w:rPr>
              <w:instrText xml:space="preserve"> FORMDROPDOWN </w:instrText>
            </w:r>
            <w:r>
              <w:rPr>
                <w:sz w:val="24"/>
                <w:szCs w:val="24"/>
              </w:rPr>
            </w:r>
            <w:r>
              <w:rPr>
                <w:sz w:val="24"/>
                <w:szCs w:val="24"/>
              </w:rPr>
              <w:fldChar w:fldCharType="end"/>
            </w:r>
            <w:bookmarkEnd w:id="1"/>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733C7B" w:rsidP="004B7383">
            <w:pPr>
              <w:rPr>
                <w:sz w:val="24"/>
                <w:szCs w:val="24"/>
              </w:rPr>
            </w:pPr>
            <w:r>
              <w:rPr>
                <w:sz w:val="24"/>
                <w:szCs w:val="24"/>
              </w:rPr>
              <w:t>Rick Castrapel</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733C7B">
              <w:rPr>
                <w:sz w:val="24"/>
                <w:szCs w:val="24"/>
              </w:rPr>
              <w:t>Math Lab needs updated computers. Math Lab needs student (peer) tutors.</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91D3B" w:rsidP="00D001FF">
            <w:pPr>
              <w:jc w:val="center"/>
              <w:rPr>
                <w:sz w:val="24"/>
                <w:szCs w:val="24"/>
              </w:rPr>
            </w:pPr>
            <w:r>
              <w:rPr>
                <w:sz w:val="24"/>
                <w:szCs w:val="24"/>
              </w:rPr>
              <w:fldChar w:fldCharType="begin">
                <w:ffData>
                  <w:name w:val=""/>
                  <w:enabled/>
                  <w:calcOnExit w:val="0"/>
                  <w:checkBox>
                    <w:sizeAuto/>
                    <w:default w:val="1"/>
                  </w:checkBox>
                </w:ffData>
              </w:fldChar>
            </w:r>
            <w:r w:rsidR="00733C7B">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591D3B" w:rsidP="00D001FF">
            <w:pPr>
              <w:jc w:val="center"/>
              <w:rPr>
                <w:sz w:val="24"/>
                <w:szCs w:val="24"/>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91D3B" w:rsidP="00D001FF">
            <w:pPr>
              <w:jc w:val="center"/>
              <w:rPr>
                <w:sz w:val="24"/>
                <w:szCs w:val="24"/>
              </w:rPr>
            </w:pPr>
            <w:r>
              <w:rPr>
                <w:sz w:val="24"/>
                <w:szCs w:val="24"/>
              </w:rPr>
              <w:fldChar w:fldCharType="begin">
                <w:ffData>
                  <w:name w:val=""/>
                  <w:enabled/>
                  <w:calcOnExit w:val="0"/>
                  <w:checkBox>
                    <w:sizeAuto/>
                    <w:default w:val="1"/>
                  </w:checkBox>
                </w:ffData>
              </w:fldChar>
            </w:r>
            <w:r w:rsidR="00733C7B">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91D3B"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91D3B" w:rsidP="000C3BC9">
            <w:pPr>
              <w:rPr>
                <w:sz w:val="24"/>
                <w:szCs w:val="24"/>
              </w:rPr>
            </w:pPr>
            <w:r>
              <w:rPr>
                <w:sz w:val="24"/>
                <w:szCs w:val="24"/>
              </w:rPr>
              <w:fldChar w:fldCharType="begin">
                <w:ffData>
                  <w:name w:val=""/>
                  <w:enabled/>
                  <w:calcOnExit w:val="0"/>
                  <w:checkBox>
                    <w:sizeAuto/>
                    <w:default w:val="1"/>
                  </w:checkBox>
                </w:ffData>
              </w:fldChar>
            </w:r>
            <w:r w:rsidR="00733C7B">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91D3B"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91D3B"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733C7B">
              <w:rPr>
                <w:sz w:val="24"/>
                <w:szCs w:val="24"/>
              </w:rPr>
              <w:t>Math Lab computers have all been updated to new models. Additional funding for peer tutors has been found through a ASG grant and through a new IVC Foundation account that allows</w:t>
            </w:r>
            <w:r w:rsidR="004E471F">
              <w:rPr>
                <w:sz w:val="24"/>
                <w:szCs w:val="24"/>
              </w:rPr>
              <w:t xml:space="preserve"> staff to earmark their donations specifically for the Math Lab.</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4E471F">
              <w:rPr>
                <w:sz w:val="24"/>
                <w:szCs w:val="24"/>
              </w:rPr>
              <w:t>Math Dept. is unable to meet the demand for certain classes (developmental math and statistics) because we need another FT faculty. Jill Nelipovich has become Institutional Researcher and is not teaching any math classes. Eric Lehtonen is 75% reassigned.</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591D3B" w:rsidP="003B17D4">
            <w:pPr>
              <w:jc w:val="center"/>
              <w:rPr>
                <w:sz w:val="24"/>
                <w:szCs w:val="24"/>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591D3B" w:rsidP="003B17D4">
            <w:pPr>
              <w:jc w:val="center"/>
              <w:rPr>
                <w:sz w:val="24"/>
                <w:szCs w:val="24"/>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591D3B" w:rsidP="003B17D4">
            <w:pPr>
              <w:jc w:val="center"/>
              <w:rPr>
                <w:sz w:val="24"/>
                <w:szCs w:val="24"/>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591D3B" w:rsidP="003B17D4">
            <w:pPr>
              <w:jc w:val="center"/>
              <w:rPr>
                <w:sz w:val="28"/>
                <w:szCs w:val="28"/>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91D3B"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91D3B" w:rsidP="004A2B92">
            <w:pPr>
              <w:rPr>
                <w:sz w:val="24"/>
                <w:szCs w:val="24"/>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91D3B"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4E471F">
              <w:rPr>
                <w:sz w:val="24"/>
                <w:szCs w:val="24"/>
              </w:rPr>
              <w:t>Jill Nelipovich has returned to FT math faculty. Eric Lehtonen's term as AS President will be ending with this academic year. Some of the pressure on Statistics classes has been eased by the Psychology program beginning to offer their own Statistics course. Demand for developmental math classes appears to be easing. We believe this to be a result of the realignment of developmental math courses done in 2010, reducing the repeat rates for these courses.</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4E471F">
              <w:rPr>
                <w:sz w:val="24"/>
                <w:szCs w:val="24"/>
              </w:rPr>
              <w:t>If and when the State mandates that math 61, 71, and 81 become non-credit, we will be able to meet some of our need with new PT faculty. We need at least a FT faculty split 50% engineering and 50% math.</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591D3B" w:rsidP="003B17D4">
            <w:pPr>
              <w:jc w:val="center"/>
              <w:rPr>
                <w:sz w:val="24"/>
                <w:szCs w:val="24"/>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591D3B" w:rsidP="003B17D4">
            <w:pPr>
              <w:jc w:val="center"/>
              <w:rPr>
                <w:sz w:val="24"/>
                <w:szCs w:val="24"/>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591D3B" w:rsidP="003B17D4">
            <w:pPr>
              <w:jc w:val="center"/>
              <w:rPr>
                <w:sz w:val="24"/>
                <w:szCs w:val="24"/>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591D3B" w:rsidP="003B17D4">
            <w:pPr>
              <w:jc w:val="center"/>
              <w:rPr>
                <w:sz w:val="28"/>
                <w:szCs w:val="28"/>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91D3B"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91D3B"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91D3B" w:rsidP="004A2B92">
            <w:pPr>
              <w:rPr>
                <w:sz w:val="24"/>
                <w:szCs w:val="24"/>
              </w:rPr>
            </w:pPr>
            <w:r>
              <w:rPr>
                <w:sz w:val="24"/>
                <w:szCs w:val="24"/>
              </w:rPr>
              <w:fldChar w:fldCharType="begin">
                <w:ffData>
                  <w:name w:val=""/>
                  <w:enabled/>
                  <w:calcOnExit w:val="0"/>
                  <w:checkBox>
                    <w:sizeAuto/>
                    <w:default w:val="1"/>
                  </w:checkBox>
                </w:ffData>
              </w:fldChar>
            </w:r>
            <w:r w:rsidR="004E471F">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D5058D"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D5058D">
              <w:rPr>
                <w:sz w:val="24"/>
                <w:szCs w:val="24"/>
              </w:rPr>
              <w:t xml:space="preserve">Math 61, 71 and 81 are still credit courses at this time, requiring fully qualified faculty. There is a lack of a qualified applicant pool of PT math faculty in the Imperial Valley. Some of our current PT faculty would need </w:t>
            </w:r>
            <w:r w:rsidR="008C11BF">
              <w:rPr>
                <w:sz w:val="24"/>
                <w:szCs w:val="24"/>
              </w:rPr>
              <w:t xml:space="preserve">to </w:t>
            </w:r>
            <w:r w:rsidR="00D5058D">
              <w:rPr>
                <w:sz w:val="24"/>
                <w:szCs w:val="24"/>
              </w:rPr>
              <w:t>pass equivalence today. No new faculty has been hired for math or engineering.</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00591D3B" w:rsidRPr="00D140DE">
        <w:rPr>
          <w:sz w:val="24"/>
          <w:szCs w:val="24"/>
        </w:rPr>
        <w:fldChar w:fldCharType="begin">
          <w:ffData>
            <w:name w:val="Text3"/>
            <w:enabled/>
            <w:calcOnExit w:val="0"/>
            <w:textInput/>
          </w:ffData>
        </w:fldChar>
      </w:r>
      <w:r w:rsidRPr="00D140DE">
        <w:rPr>
          <w:sz w:val="24"/>
          <w:szCs w:val="24"/>
        </w:rPr>
        <w:instrText xml:space="preserve"> FORMTEXT </w:instrText>
      </w:r>
      <w:r w:rsidR="00591D3B" w:rsidRPr="00D140DE">
        <w:rPr>
          <w:sz w:val="24"/>
          <w:szCs w:val="24"/>
        </w:rPr>
      </w:r>
      <w:r w:rsidR="00591D3B"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591D3B"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110022" w:rsidRDefault="00C819BE" w:rsidP="00110022">
      <w:pPr>
        <w:pStyle w:val="ListParagraph"/>
        <w:spacing w:after="0" w:line="240" w:lineRule="auto"/>
        <w:ind w:left="1800"/>
        <w:rPr>
          <w:sz w:val="24"/>
          <w:szCs w:val="24"/>
        </w:rPr>
      </w:pPr>
      <w:r w:rsidRPr="00C819BE">
        <w:rPr>
          <w:noProof/>
          <w:sz w:val="24"/>
          <w:szCs w:val="24"/>
        </w:rPr>
        <w:drawing>
          <wp:inline distT="0" distB="0" distL="0" distR="0" wp14:anchorId="4F1BD1E1" wp14:editId="794F8E4F">
            <wp:extent cx="3352800" cy="22002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C3C15" w:rsidRPr="00EC3C15">
        <w:rPr>
          <w:noProof/>
          <w:sz w:val="24"/>
          <w:szCs w:val="24"/>
        </w:rPr>
        <w:drawing>
          <wp:inline distT="0" distB="0" distL="0" distR="0" wp14:anchorId="7DE503F3" wp14:editId="55D57EEE">
            <wp:extent cx="3781425" cy="2200275"/>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19BE" w:rsidRDefault="00C819BE" w:rsidP="00110022">
      <w:pPr>
        <w:pStyle w:val="ListParagraph"/>
        <w:spacing w:after="0" w:line="240" w:lineRule="auto"/>
        <w:ind w:left="1800"/>
        <w:rPr>
          <w:sz w:val="24"/>
          <w:szCs w:val="24"/>
        </w:rPr>
      </w:pPr>
      <w:r>
        <w:rPr>
          <w:sz w:val="24"/>
          <w:szCs w:val="24"/>
        </w:rPr>
        <w:t xml:space="preserve">Total enrollment in math classes has dropped in line with the total </w:t>
      </w:r>
      <w:r w:rsidR="00EC3C15">
        <w:rPr>
          <w:sz w:val="24"/>
          <w:szCs w:val="24"/>
        </w:rPr>
        <w:t xml:space="preserve">statewide community </w:t>
      </w:r>
      <w:r>
        <w:rPr>
          <w:sz w:val="24"/>
          <w:szCs w:val="24"/>
        </w:rPr>
        <w:t>college enrollment drop.</w:t>
      </w:r>
      <w:r w:rsidR="00EC3C15">
        <w:rPr>
          <w:sz w:val="24"/>
          <w:szCs w:val="24"/>
        </w:rPr>
        <w:t xml:space="preserve"> Both now appear to be leveling off.</w:t>
      </w:r>
    </w:p>
    <w:p w:rsidR="00EC3C15" w:rsidRDefault="00EC3C15" w:rsidP="00BE074F">
      <w:pPr>
        <w:pStyle w:val="ListParagraph"/>
        <w:spacing w:after="0" w:line="240" w:lineRule="auto"/>
        <w:ind w:left="1800"/>
        <w:jc w:val="center"/>
        <w:rPr>
          <w:sz w:val="24"/>
          <w:szCs w:val="24"/>
        </w:rPr>
      </w:pPr>
      <w:r w:rsidRPr="00EC3C15">
        <w:rPr>
          <w:noProof/>
          <w:sz w:val="24"/>
          <w:szCs w:val="24"/>
        </w:rPr>
        <w:drawing>
          <wp:inline distT="0" distB="0" distL="0" distR="0">
            <wp:extent cx="3981450" cy="1857375"/>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2D22" w:rsidRDefault="00272D22" w:rsidP="00110022">
      <w:pPr>
        <w:pStyle w:val="ListParagraph"/>
        <w:spacing w:after="0" w:line="240" w:lineRule="auto"/>
        <w:ind w:left="1800"/>
        <w:rPr>
          <w:sz w:val="24"/>
          <w:szCs w:val="24"/>
        </w:rPr>
      </w:pPr>
    </w:p>
    <w:p w:rsidR="00272D22" w:rsidRDefault="00272D22" w:rsidP="00110022">
      <w:pPr>
        <w:pStyle w:val="ListParagraph"/>
        <w:spacing w:after="0" w:line="240" w:lineRule="auto"/>
        <w:ind w:left="1800"/>
        <w:rPr>
          <w:sz w:val="24"/>
          <w:szCs w:val="24"/>
        </w:rPr>
      </w:pPr>
      <w:r>
        <w:rPr>
          <w:sz w:val="24"/>
          <w:szCs w:val="24"/>
        </w:rPr>
        <w:t>Fill rates have dropped below 100% in recent semesters as we adjust the math schedule to reflect changes in student demand for fewer developmental</w:t>
      </w:r>
      <w:r w:rsidR="00BE074F">
        <w:rPr>
          <w:sz w:val="24"/>
          <w:szCs w:val="24"/>
        </w:rPr>
        <w:t xml:space="preserve"> course repeats and more higher </w:t>
      </w:r>
      <w:r>
        <w:rPr>
          <w:sz w:val="24"/>
          <w:szCs w:val="24"/>
        </w:rPr>
        <w:t>level courses.</w:t>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272D22" w:rsidP="00BE074F">
      <w:pPr>
        <w:pStyle w:val="ListParagraph"/>
        <w:spacing w:after="0" w:line="240" w:lineRule="auto"/>
        <w:ind w:left="0"/>
        <w:jc w:val="center"/>
        <w:rPr>
          <w:sz w:val="24"/>
          <w:szCs w:val="24"/>
        </w:rPr>
      </w:pPr>
      <w:r w:rsidRPr="00272D22">
        <w:rPr>
          <w:noProof/>
          <w:sz w:val="24"/>
          <w:szCs w:val="24"/>
        </w:rPr>
        <w:drawing>
          <wp:inline distT="0" distB="0" distL="0" distR="0">
            <wp:extent cx="4572000" cy="2114550"/>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2D22" w:rsidRDefault="00272D22" w:rsidP="00110022">
      <w:pPr>
        <w:pStyle w:val="ListParagraph"/>
        <w:spacing w:after="0" w:line="240" w:lineRule="auto"/>
        <w:ind w:left="1800"/>
        <w:rPr>
          <w:sz w:val="24"/>
          <w:szCs w:val="24"/>
        </w:rPr>
      </w:pPr>
    </w:p>
    <w:p w:rsidR="00272D22" w:rsidRDefault="00272D22" w:rsidP="00110022">
      <w:pPr>
        <w:pStyle w:val="ListParagraph"/>
        <w:spacing w:after="0" w:line="240" w:lineRule="auto"/>
        <w:ind w:left="1800"/>
        <w:rPr>
          <w:sz w:val="24"/>
          <w:szCs w:val="24"/>
        </w:rPr>
      </w:pPr>
      <w:r>
        <w:rPr>
          <w:sz w:val="24"/>
          <w:szCs w:val="24"/>
        </w:rPr>
        <w:t>Productivity is in line with fill rates and remains high throughout the program as all math classes have quotas of at least 30 and nearly all have quotas of 35.</w:t>
      </w:r>
    </w:p>
    <w:p w:rsidR="00BE074F" w:rsidRDefault="00BE074F">
      <w:pPr>
        <w:rPr>
          <w:sz w:val="24"/>
          <w:szCs w:val="24"/>
        </w:rPr>
      </w:pPr>
      <w:r>
        <w:rPr>
          <w:sz w:val="24"/>
          <w:szCs w:val="24"/>
        </w:rPr>
        <w:br w:type="page"/>
      </w:r>
    </w:p>
    <w:p w:rsidR="00555678" w:rsidRPr="00555678" w:rsidRDefault="00555678" w:rsidP="00555678">
      <w:pPr>
        <w:pStyle w:val="ListParagraph"/>
        <w:numPr>
          <w:ilvl w:val="0"/>
          <w:numId w:val="8"/>
        </w:numPr>
        <w:rPr>
          <w:sz w:val="24"/>
        </w:rPr>
      </w:pPr>
      <w:r w:rsidRPr="00555678">
        <w:rPr>
          <w:sz w:val="24"/>
        </w:rPr>
        <w:lastRenderedPageBreak/>
        <w:t xml:space="preserve">Discuss and chart the success and retention rates by day, evening (extended day), and online classes in each program and identify gaps. </w:t>
      </w:r>
    </w:p>
    <w:p w:rsidR="0023193A" w:rsidRDefault="008E342A" w:rsidP="0023193A">
      <w:pPr>
        <w:pStyle w:val="ListParagraph"/>
        <w:spacing w:after="0" w:line="240" w:lineRule="auto"/>
        <w:ind w:left="1800"/>
        <w:rPr>
          <w:sz w:val="24"/>
          <w:szCs w:val="24"/>
        </w:rPr>
      </w:pPr>
      <w:r w:rsidRPr="008E342A">
        <w:rPr>
          <w:noProof/>
          <w:sz w:val="24"/>
          <w:szCs w:val="24"/>
        </w:rPr>
        <w:drawing>
          <wp:inline distT="0" distB="0" distL="0" distR="0">
            <wp:extent cx="3838575" cy="2390775"/>
            <wp:effectExtent l="0" t="0" r="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6076F" w:rsidRPr="00A6076F">
        <w:rPr>
          <w:noProof/>
          <w:sz w:val="24"/>
          <w:szCs w:val="24"/>
        </w:rPr>
        <w:drawing>
          <wp:inline distT="0" distB="0" distL="0" distR="0">
            <wp:extent cx="3886200" cy="2390775"/>
            <wp:effectExtent l="0" t="0" r="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076F" w:rsidRDefault="00A6076F" w:rsidP="0023193A">
      <w:pPr>
        <w:pStyle w:val="ListParagraph"/>
        <w:spacing w:after="0" w:line="240" w:lineRule="auto"/>
        <w:ind w:left="1800"/>
        <w:rPr>
          <w:sz w:val="24"/>
          <w:szCs w:val="24"/>
        </w:rPr>
      </w:pPr>
      <w:r>
        <w:rPr>
          <w:sz w:val="24"/>
          <w:szCs w:val="24"/>
        </w:rPr>
        <w:t>Success and retention rates are in line with expected. Note: No online math classes were offered in Spring 2013.</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783386" w:rsidP="00555678">
      <w:pPr>
        <w:pStyle w:val="ListParagraph"/>
        <w:spacing w:after="0" w:line="240" w:lineRule="auto"/>
        <w:ind w:left="1800"/>
        <w:rPr>
          <w:sz w:val="24"/>
          <w:szCs w:val="24"/>
        </w:rPr>
      </w:pPr>
      <w:r w:rsidRPr="00783386">
        <w:rPr>
          <w:noProof/>
          <w:sz w:val="24"/>
          <w:szCs w:val="24"/>
        </w:rPr>
        <w:drawing>
          <wp:inline distT="0" distB="0" distL="0" distR="0">
            <wp:extent cx="3838575" cy="2133600"/>
            <wp:effectExtent l="0" t="0" r="0" b="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83386">
        <w:rPr>
          <w:noProof/>
          <w:sz w:val="24"/>
          <w:szCs w:val="24"/>
        </w:rPr>
        <w:drawing>
          <wp:inline distT="0" distB="0" distL="0" distR="0">
            <wp:extent cx="3952875" cy="2133600"/>
            <wp:effectExtent l="0" t="0" r="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6475" w:rsidRDefault="00E26475" w:rsidP="00555678">
      <w:pPr>
        <w:pStyle w:val="ListParagraph"/>
        <w:spacing w:after="0" w:line="240" w:lineRule="auto"/>
        <w:ind w:left="1800"/>
        <w:rPr>
          <w:sz w:val="24"/>
          <w:szCs w:val="24"/>
        </w:rPr>
      </w:pPr>
      <w:r>
        <w:rPr>
          <w:sz w:val="24"/>
          <w:szCs w:val="24"/>
        </w:rPr>
        <w:t xml:space="preserve">Comparison of the trend lines on these charts is meaningless because the "All Hispanic" category (green line) is nearly 90% of all </w:t>
      </w:r>
      <w:r>
        <w:rPr>
          <w:sz w:val="24"/>
          <w:szCs w:val="24"/>
        </w:rPr>
        <w:lastRenderedPageBreak/>
        <w:t>the data. Thus the green lines for success and retention rates appear stable</w:t>
      </w:r>
      <w:r w:rsidR="007C26A8">
        <w:rPr>
          <w:sz w:val="24"/>
          <w:szCs w:val="24"/>
        </w:rPr>
        <w:t xml:space="preserve"> and consistent with statewide rates</w:t>
      </w:r>
      <w:r>
        <w:rPr>
          <w:sz w:val="24"/>
          <w:szCs w:val="24"/>
        </w:rPr>
        <w:t>. The other lines gyrate widely because of small sample size.</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tbl>
      <w:tblPr>
        <w:tblW w:w="9669" w:type="dxa"/>
        <w:tblInd w:w="1815" w:type="dxa"/>
        <w:tblLook w:val="04A0" w:firstRow="1" w:lastRow="0" w:firstColumn="1" w:lastColumn="0" w:noHBand="0" w:noVBand="1"/>
      </w:tblPr>
      <w:tblGrid>
        <w:gridCol w:w="6192"/>
        <w:gridCol w:w="1966"/>
        <w:gridCol w:w="267"/>
        <w:gridCol w:w="267"/>
        <w:gridCol w:w="977"/>
      </w:tblGrid>
      <w:tr w:rsidR="007C26A8" w:rsidRPr="007C26A8" w:rsidTr="007C26A8">
        <w:trPr>
          <w:trHeight w:val="375"/>
        </w:trPr>
        <w:tc>
          <w:tcPr>
            <w:tcW w:w="8692" w:type="dxa"/>
            <w:gridSpan w:val="4"/>
            <w:tcBorders>
              <w:top w:val="nil"/>
              <w:left w:val="nil"/>
              <w:bottom w:val="nil"/>
              <w:right w:val="nil"/>
            </w:tcBorders>
            <w:shd w:val="clear" w:color="auto" w:fill="auto"/>
            <w:noWrap/>
            <w:hideMark/>
          </w:tcPr>
          <w:p w:rsidR="007C26A8" w:rsidRPr="007C26A8" w:rsidRDefault="007C26A8" w:rsidP="007C26A8">
            <w:pPr>
              <w:spacing w:after="0" w:line="240" w:lineRule="auto"/>
              <w:rPr>
                <w:rFonts w:ascii="Arial" w:eastAsia="Times New Roman" w:hAnsi="Arial" w:cs="Arial"/>
                <w:b/>
                <w:bCs/>
                <w:sz w:val="18"/>
                <w:szCs w:val="18"/>
              </w:rPr>
            </w:pPr>
            <w:r w:rsidRPr="007C26A8">
              <w:rPr>
                <w:rFonts w:ascii="Arial" w:eastAsia="Times New Roman" w:hAnsi="Arial" w:cs="Arial"/>
                <w:b/>
                <w:bCs/>
                <w:sz w:val="18"/>
                <w:szCs w:val="18"/>
              </w:rPr>
              <w:t>Number of Degrees and Certificates Awarded 2010-2011 through 2012-2013 (3 years)</w:t>
            </w:r>
          </w:p>
        </w:tc>
        <w:tc>
          <w:tcPr>
            <w:tcW w:w="977" w:type="dxa"/>
            <w:tcBorders>
              <w:top w:val="nil"/>
              <w:left w:val="nil"/>
              <w:bottom w:val="nil"/>
              <w:right w:val="nil"/>
            </w:tcBorders>
            <w:shd w:val="clear" w:color="auto" w:fill="auto"/>
            <w:noWrap/>
            <w:vAlign w:val="bottom"/>
            <w:hideMark/>
          </w:tcPr>
          <w:p w:rsidR="007C26A8" w:rsidRPr="007C26A8" w:rsidRDefault="007C26A8" w:rsidP="007C26A8">
            <w:pPr>
              <w:spacing w:after="0" w:line="240" w:lineRule="auto"/>
              <w:rPr>
                <w:rFonts w:ascii="Calibri" w:eastAsia="Times New Roman" w:hAnsi="Calibri" w:cs="Calibri"/>
                <w:color w:val="000000"/>
              </w:rPr>
            </w:pPr>
          </w:p>
        </w:tc>
      </w:tr>
      <w:tr w:rsidR="007C26A8" w:rsidRPr="007C26A8" w:rsidTr="007C26A8">
        <w:trPr>
          <w:trHeight w:val="390"/>
        </w:trPr>
        <w:tc>
          <w:tcPr>
            <w:tcW w:w="61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26A8" w:rsidRPr="007C26A8" w:rsidRDefault="007C26A8" w:rsidP="007C26A8">
            <w:pPr>
              <w:spacing w:after="0" w:line="240" w:lineRule="auto"/>
              <w:rPr>
                <w:rFonts w:ascii="Arial" w:eastAsia="Times New Roman" w:hAnsi="Arial" w:cs="Arial"/>
                <w:b/>
                <w:bCs/>
                <w:sz w:val="18"/>
                <w:szCs w:val="18"/>
              </w:rPr>
            </w:pPr>
            <w:r w:rsidRPr="007C26A8">
              <w:rPr>
                <w:rFonts w:ascii="Arial" w:eastAsia="Times New Roman" w:hAnsi="Arial" w:cs="Arial"/>
                <w:b/>
                <w:bCs/>
                <w:sz w:val="18"/>
                <w:szCs w:val="18"/>
              </w:rPr>
              <w:t>Degrees</w:t>
            </w:r>
          </w:p>
        </w:tc>
        <w:tc>
          <w:tcPr>
            <w:tcW w:w="1966" w:type="dxa"/>
            <w:tcBorders>
              <w:top w:val="single" w:sz="8" w:space="0" w:color="auto"/>
              <w:left w:val="nil"/>
              <w:bottom w:val="single" w:sz="8" w:space="0" w:color="auto"/>
              <w:right w:val="single" w:sz="8" w:space="0" w:color="auto"/>
            </w:tcBorders>
            <w:shd w:val="clear" w:color="auto" w:fill="auto"/>
            <w:noWrap/>
            <w:vAlign w:val="bottom"/>
            <w:hideMark/>
          </w:tcPr>
          <w:p w:rsidR="007C26A8" w:rsidRPr="007C26A8" w:rsidRDefault="007C26A8" w:rsidP="007C26A8">
            <w:pPr>
              <w:spacing w:after="0" w:line="240" w:lineRule="auto"/>
              <w:rPr>
                <w:rFonts w:ascii="Arial" w:eastAsia="Times New Roman" w:hAnsi="Arial" w:cs="Arial"/>
                <w:b/>
                <w:bCs/>
                <w:sz w:val="18"/>
                <w:szCs w:val="18"/>
              </w:rPr>
            </w:pPr>
            <w:r w:rsidRPr="007C26A8">
              <w:rPr>
                <w:rFonts w:ascii="Arial" w:eastAsia="Times New Roman" w:hAnsi="Arial" w:cs="Arial"/>
                <w:b/>
                <w:bCs/>
                <w:sz w:val="18"/>
                <w:szCs w:val="18"/>
              </w:rPr>
              <w:t>Awarded</w:t>
            </w:r>
          </w:p>
        </w:tc>
        <w:tc>
          <w:tcPr>
            <w:tcW w:w="267" w:type="dxa"/>
            <w:tcBorders>
              <w:top w:val="single" w:sz="8" w:space="0" w:color="auto"/>
              <w:left w:val="nil"/>
              <w:bottom w:val="single" w:sz="8" w:space="0" w:color="auto"/>
              <w:right w:val="single" w:sz="8" w:space="0" w:color="auto"/>
            </w:tcBorders>
            <w:shd w:val="clear" w:color="auto" w:fill="auto"/>
            <w:noWrap/>
            <w:vAlign w:val="bottom"/>
            <w:hideMark/>
          </w:tcPr>
          <w:p w:rsidR="007C26A8" w:rsidRPr="007C26A8" w:rsidRDefault="007C26A8" w:rsidP="007C26A8">
            <w:pPr>
              <w:spacing w:after="0" w:line="240" w:lineRule="auto"/>
              <w:rPr>
                <w:rFonts w:ascii="Arial" w:eastAsia="Times New Roman" w:hAnsi="Arial" w:cs="Arial"/>
                <w:b/>
                <w:bCs/>
                <w:sz w:val="18"/>
                <w:szCs w:val="18"/>
              </w:rPr>
            </w:pPr>
            <w:r w:rsidRPr="007C26A8">
              <w:rPr>
                <w:rFonts w:ascii="Arial" w:eastAsia="Times New Roman" w:hAnsi="Arial" w:cs="Arial"/>
                <w:b/>
                <w:bCs/>
                <w:sz w:val="18"/>
                <w:szCs w:val="18"/>
              </w:rPr>
              <w:t> </w:t>
            </w:r>
          </w:p>
        </w:tc>
        <w:tc>
          <w:tcPr>
            <w:tcW w:w="267" w:type="dxa"/>
            <w:tcBorders>
              <w:top w:val="single" w:sz="8" w:space="0" w:color="auto"/>
              <w:left w:val="nil"/>
              <w:bottom w:val="single" w:sz="8" w:space="0" w:color="auto"/>
              <w:right w:val="single" w:sz="8" w:space="0" w:color="auto"/>
            </w:tcBorders>
            <w:shd w:val="clear" w:color="auto" w:fill="auto"/>
            <w:noWrap/>
            <w:vAlign w:val="bottom"/>
            <w:hideMark/>
          </w:tcPr>
          <w:p w:rsidR="007C26A8" w:rsidRPr="007C26A8" w:rsidRDefault="007C26A8" w:rsidP="007C26A8">
            <w:pPr>
              <w:spacing w:after="0" w:line="240" w:lineRule="auto"/>
              <w:rPr>
                <w:rFonts w:ascii="Arial" w:eastAsia="Times New Roman" w:hAnsi="Arial" w:cs="Arial"/>
                <w:b/>
                <w:bCs/>
                <w:sz w:val="18"/>
                <w:szCs w:val="18"/>
              </w:rPr>
            </w:pPr>
            <w:r w:rsidRPr="007C26A8">
              <w:rPr>
                <w:rFonts w:ascii="Arial" w:eastAsia="Times New Roman" w:hAnsi="Arial" w:cs="Arial"/>
                <w:b/>
                <w:bCs/>
                <w:sz w:val="18"/>
                <w:szCs w:val="18"/>
              </w:rPr>
              <w:t> </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7C26A8" w:rsidRPr="007C26A8" w:rsidRDefault="007C26A8" w:rsidP="007C26A8">
            <w:pPr>
              <w:spacing w:after="0" w:line="240" w:lineRule="auto"/>
              <w:rPr>
                <w:rFonts w:ascii="Arial" w:eastAsia="Times New Roman" w:hAnsi="Arial" w:cs="Arial"/>
                <w:b/>
                <w:bCs/>
                <w:sz w:val="18"/>
                <w:szCs w:val="18"/>
              </w:rPr>
            </w:pPr>
            <w:r w:rsidRPr="007C26A8">
              <w:rPr>
                <w:rFonts w:ascii="Arial" w:eastAsia="Times New Roman" w:hAnsi="Arial" w:cs="Arial"/>
                <w:b/>
                <w:bCs/>
                <w:sz w:val="18"/>
                <w:szCs w:val="18"/>
              </w:rPr>
              <w:t>Awarded</w:t>
            </w:r>
          </w:p>
        </w:tc>
      </w:tr>
      <w:tr w:rsidR="007C26A8" w:rsidRPr="007C26A8" w:rsidTr="007C26A8">
        <w:trPr>
          <w:trHeight w:val="390"/>
        </w:trPr>
        <w:tc>
          <w:tcPr>
            <w:tcW w:w="6192" w:type="dxa"/>
            <w:tcBorders>
              <w:top w:val="single" w:sz="4" w:space="0" w:color="auto"/>
              <w:left w:val="single" w:sz="8" w:space="0" w:color="auto"/>
              <w:bottom w:val="single" w:sz="8" w:space="0" w:color="auto"/>
              <w:right w:val="single" w:sz="8" w:space="0" w:color="auto"/>
            </w:tcBorders>
            <w:shd w:val="clear" w:color="auto" w:fill="auto"/>
            <w:noWrap/>
            <w:hideMark/>
          </w:tcPr>
          <w:p w:rsidR="007C26A8" w:rsidRPr="007C26A8" w:rsidRDefault="007C26A8" w:rsidP="007C26A8">
            <w:pPr>
              <w:spacing w:after="0" w:line="240" w:lineRule="auto"/>
              <w:rPr>
                <w:rFonts w:ascii="Arial" w:eastAsia="Times New Roman" w:hAnsi="Arial" w:cs="Arial"/>
                <w:sz w:val="18"/>
                <w:szCs w:val="18"/>
              </w:rPr>
            </w:pPr>
            <w:r w:rsidRPr="007C26A8">
              <w:rPr>
                <w:rFonts w:ascii="Arial" w:eastAsia="Times New Roman" w:hAnsi="Arial" w:cs="Arial"/>
                <w:sz w:val="18"/>
                <w:szCs w:val="18"/>
              </w:rPr>
              <w:t>A.S. Mathematics</w:t>
            </w:r>
          </w:p>
        </w:tc>
        <w:tc>
          <w:tcPr>
            <w:tcW w:w="1966" w:type="dxa"/>
            <w:tcBorders>
              <w:top w:val="nil"/>
              <w:left w:val="nil"/>
              <w:bottom w:val="single" w:sz="8" w:space="0" w:color="auto"/>
              <w:right w:val="single" w:sz="8" w:space="0" w:color="auto"/>
            </w:tcBorders>
            <w:shd w:val="clear" w:color="auto" w:fill="auto"/>
            <w:noWrap/>
            <w:hideMark/>
          </w:tcPr>
          <w:p w:rsidR="007C26A8" w:rsidRPr="007C26A8" w:rsidRDefault="007C26A8" w:rsidP="007C26A8">
            <w:pPr>
              <w:spacing w:after="0" w:line="240" w:lineRule="auto"/>
              <w:jc w:val="center"/>
              <w:rPr>
                <w:rFonts w:ascii="Arial" w:eastAsia="Times New Roman" w:hAnsi="Arial" w:cs="Arial"/>
                <w:sz w:val="18"/>
                <w:szCs w:val="18"/>
              </w:rPr>
            </w:pPr>
            <w:r w:rsidRPr="007C26A8">
              <w:rPr>
                <w:rFonts w:ascii="Arial" w:eastAsia="Times New Roman" w:hAnsi="Arial" w:cs="Arial"/>
                <w:sz w:val="18"/>
                <w:szCs w:val="18"/>
              </w:rPr>
              <w:t>35</w:t>
            </w:r>
          </w:p>
        </w:tc>
        <w:tc>
          <w:tcPr>
            <w:tcW w:w="267" w:type="dxa"/>
            <w:tcBorders>
              <w:top w:val="nil"/>
              <w:left w:val="nil"/>
              <w:bottom w:val="single" w:sz="8" w:space="0" w:color="auto"/>
              <w:right w:val="single" w:sz="8" w:space="0" w:color="auto"/>
            </w:tcBorders>
            <w:shd w:val="clear" w:color="auto" w:fill="auto"/>
            <w:noWrap/>
            <w:hideMark/>
          </w:tcPr>
          <w:p w:rsidR="007C26A8" w:rsidRPr="007C26A8" w:rsidRDefault="007C26A8" w:rsidP="007C26A8">
            <w:pPr>
              <w:spacing w:after="0" w:line="240" w:lineRule="auto"/>
              <w:rPr>
                <w:rFonts w:ascii="Arial" w:eastAsia="Times New Roman" w:hAnsi="Arial" w:cs="Arial"/>
                <w:sz w:val="18"/>
                <w:szCs w:val="18"/>
              </w:rPr>
            </w:pPr>
            <w:r w:rsidRPr="007C26A8">
              <w:rPr>
                <w:rFonts w:ascii="Arial" w:eastAsia="Times New Roman" w:hAnsi="Arial" w:cs="Arial"/>
                <w:sz w:val="18"/>
                <w:szCs w:val="18"/>
              </w:rPr>
              <w:t> </w:t>
            </w:r>
          </w:p>
        </w:tc>
        <w:tc>
          <w:tcPr>
            <w:tcW w:w="267" w:type="dxa"/>
            <w:tcBorders>
              <w:top w:val="nil"/>
              <w:left w:val="nil"/>
              <w:bottom w:val="single" w:sz="8" w:space="0" w:color="auto"/>
              <w:right w:val="single" w:sz="8" w:space="0" w:color="auto"/>
            </w:tcBorders>
            <w:shd w:val="clear" w:color="auto" w:fill="auto"/>
            <w:noWrap/>
            <w:hideMark/>
          </w:tcPr>
          <w:p w:rsidR="007C26A8" w:rsidRPr="007C26A8" w:rsidRDefault="007C26A8" w:rsidP="007C26A8">
            <w:pPr>
              <w:spacing w:after="0" w:line="240" w:lineRule="auto"/>
              <w:rPr>
                <w:rFonts w:ascii="Arial" w:eastAsia="Times New Roman" w:hAnsi="Arial" w:cs="Arial"/>
                <w:sz w:val="18"/>
                <w:szCs w:val="18"/>
              </w:rPr>
            </w:pPr>
            <w:r w:rsidRPr="007C26A8">
              <w:rPr>
                <w:rFonts w:ascii="Arial" w:eastAsia="Times New Roman" w:hAnsi="Arial" w:cs="Arial"/>
                <w:sz w:val="18"/>
                <w:szCs w:val="18"/>
              </w:rPr>
              <w:t> </w:t>
            </w:r>
          </w:p>
        </w:tc>
        <w:tc>
          <w:tcPr>
            <w:tcW w:w="977" w:type="dxa"/>
            <w:tcBorders>
              <w:top w:val="nil"/>
              <w:left w:val="nil"/>
              <w:bottom w:val="single" w:sz="8" w:space="0" w:color="auto"/>
              <w:right w:val="single" w:sz="8" w:space="0" w:color="auto"/>
            </w:tcBorders>
            <w:shd w:val="clear" w:color="auto" w:fill="auto"/>
            <w:noWrap/>
            <w:hideMark/>
          </w:tcPr>
          <w:p w:rsidR="007C26A8" w:rsidRPr="007C26A8" w:rsidRDefault="007C26A8" w:rsidP="007C26A8">
            <w:pPr>
              <w:spacing w:after="0" w:line="240" w:lineRule="auto"/>
              <w:jc w:val="center"/>
              <w:rPr>
                <w:rFonts w:ascii="Arial" w:eastAsia="Times New Roman" w:hAnsi="Arial" w:cs="Arial"/>
                <w:sz w:val="18"/>
                <w:szCs w:val="18"/>
              </w:rPr>
            </w:pPr>
            <w:r w:rsidRPr="007C26A8">
              <w:rPr>
                <w:rFonts w:ascii="Arial" w:eastAsia="Times New Roman" w:hAnsi="Arial" w:cs="Arial"/>
                <w:sz w:val="18"/>
                <w:szCs w:val="18"/>
              </w:rPr>
              <w:t>35</w:t>
            </w:r>
          </w:p>
        </w:tc>
      </w:tr>
      <w:tr w:rsidR="007C26A8" w:rsidRPr="007C26A8" w:rsidTr="007C26A8">
        <w:trPr>
          <w:trHeight w:val="390"/>
        </w:trPr>
        <w:tc>
          <w:tcPr>
            <w:tcW w:w="6192" w:type="dxa"/>
            <w:tcBorders>
              <w:top w:val="single" w:sz="4" w:space="0" w:color="auto"/>
              <w:left w:val="single" w:sz="8" w:space="0" w:color="auto"/>
              <w:bottom w:val="single" w:sz="8" w:space="0" w:color="auto"/>
              <w:right w:val="single" w:sz="8" w:space="0" w:color="auto"/>
            </w:tcBorders>
            <w:shd w:val="clear" w:color="auto" w:fill="auto"/>
            <w:noWrap/>
            <w:hideMark/>
          </w:tcPr>
          <w:p w:rsidR="007C26A8" w:rsidRPr="007C26A8" w:rsidRDefault="007C26A8" w:rsidP="007C26A8">
            <w:pPr>
              <w:spacing w:after="0" w:line="240" w:lineRule="auto"/>
              <w:rPr>
                <w:rFonts w:ascii="Arial" w:eastAsia="Times New Roman" w:hAnsi="Arial" w:cs="Arial"/>
                <w:sz w:val="18"/>
                <w:szCs w:val="18"/>
              </w:rPr>
            </w:pPr>
            <w:r w:rsidRPr="007C26A8">
              <w:rPr>
                <w:rFonts w:ascii="Arial" w:eastAsia="Times New Roman" w:hAnsi="Arial" w:cs="Arial"/>
                <w:sz w:val="18"/>
                <w:szCs w:val="18"/>
              </w:rPr>
              <w:t>AS-T Mathematics for Transfer</w:t>
            </w:r>
          </w:p>
        </w:tc>
        <w:tc>
          <w:tcPr>
            <w:tcW w:w="1966" w:type="dxa"/>
            <w:tcBorders>
              <w:top w:val="nil"/>
              <w:left w:val="nil"/>
              <w:bottom w:val="single" w:sz="8" w:space="0" w:color="auto"/>
              <w:right w:val="single" w:sz="8" w:space="0" w:color="auto"/>
            </w:tcBorders>
            <w:shd w:val="clear" w:color="auto" w:fill="auto"/>
            <w:noWrap/>
            <w:hideMark/>
          </w:tcPr>
          <w:p w:rsidR="007C26A8" w:rsidRPr="007C26A8" w:rsidRDefault="007C26A8" w:rsidP="007C26A8">
            <w:pPr>
              <w:spacing w:after="0" w:line="240" w:lineRule="auto"/>
              <w:jc w:val="center"/>
              <w:rPr>
                <w:rFonts w:ascii="Arial" w:eastAsia="Times New Roman" w:hAnsi="Arial" w:cs="Arial"/>
                <w:sz w:val="18"/>
                <w:szCs w:val="18"/>
              </w:rPr>
            </w:pPr>
            <w:r w:rsidRPr="007C26A8">
              <w:rPr>
                <w:rFonts w:ascii="Arial" w:eastAsia="Times New Roman" w:hAnsi="Arial" w:cs="Arial"/>
                <w:sz w:val="18"/>
                <w:szCs w:val="18"/>
              </w:rPr>
              <w:t>10</w:t>
            </w:r>
          </w:p>
        </w:tc>
        <w:tc>
          <w:tcPr>
            <w:tcW w:w="267" w:type="dxa"/>
            <w:tcBorders>
              <w:top w:val="nil"/>
              <w:left w:val="nil"/>
              <w:bottom w:val="single" w:sz="8" w:space="0" w:color="auto"/>
              <w:right w:val="single" w:sz="8" w:space="0" w:color="auto"/>
            </w:tcBorders>
            <w:shd w:val="clear" w:color="auto" w:fill="auto"/>
            <w:noWrap/>
            <w:hideMark/>
          </w:tcPr>
          <w:p w:rsidR="007C26A8" w:rsidRPr="007C26A8" w:rsidRDefault="007C26A8" w:rsidP="007C26A8">
            <w:pPr>
              <w:spacing w:after="0" w:line="240" w:lineRule="auto"/>
              <w:rPr>
                <w:rFonts w:ascii="Arial" w:eastAsia="Times New Roman" w:hAnsi="Arial" w:cs="Arial"/>
                <w:sz w:val="18"/>
                <w:szCs w:val="18"/>
              </w:rPr>
            </w:pPr>
            <w:r w:rsidRPr="007C26A8">
              <w:rPr>
                <w:rFonts w:ascii="Arial" w:eastAsia="Times New Roman" w:hAnsi="Arial" w:cs="Arial"/>
                <w:sz w:val="18"/>
                <w:szCs w:val="18"/>
              </w:rPr>
              <w:t> </w:t>
            </w:r>
          </w:p>
        </w:tc>
        <w:tc>
          <w:tcPr>
            <w:tcW w:w="267" w:type="dxa"/>
            <w:tcBorders>
              <w:top w:val="nil"/>
              <w:left w:val="nil"/>
              <w:bottom w:val="single" w:sz="8" w:space="0" w:color="auto"/>
              <w:right w:val="single" w:sz="8" w:space="0" w:color="auto"/>
            </w:tcBorders>
            <w:shd w:val="clear" w:color="auto" w:fill="auto"/>
            <w:noWrap/>
            <w:hideMark/>
          </w:tcPr>
          <w:p w:rsidR="007C26A8" w:rsidRPr="007C26A8" w:rsidRDefault="007C26A8" w:rsidP="007C26A8">
            <w:pPr>
              <w:spacing w:after="0" w:line="240" w:lineRule="auto"/>
              <w:rPr>
                <w:rFonts w:ascii="Arial" w:eastAsia="Times New Roman" w:hAnsi="Arial" w:cs="Arial"/>
                <w:sz w:val="18"/>
                <w:szCs w:val="18"/>
              </w:rPr>
            </w:pPr>
            <w:r w:rsidRPr="007C26A8">
              <w:rPr>
                <w:rFonts w:ascii="Arial" w:eastAsia="Times New Roman" w:hAnsi="Arial" w:cs="Arial"/>
                <w:sz w:val="18"/>
                <w:szCs w:val="18"/>
              </w:rPr>
              <w:t> </w:t>
            </w:r>
          </w:p>
        </w:tc>
        <w:tc>
          <w:tcPr>
            <w:tcW w:w="977" w:type="dxa"/>
            <w:tcBorders>
              <w:top w:val="nil"/>
              <w:left w:val="nil"/>
              <w:bottom w:val="single" w:sz="8" w:space="0" w:color="auto"/>
              <w:right w:val="single" w:sz="8" w:space="0" w:color="auto"/>
            </w:tcBorders>
            <w:shd w:val="clear" w:color="auto" w:fill="auto"/>
            <w:noWrap/>
            <w:hideMark/>
          </w:tcPr>
          <w:p w:rsidR="007C26A8" w:rsidRPr="007C26A8" w:rsidRDefault="007C26A8" w:rsidP="007C26A8">
            <w:pPr>
              <w:spacing w:after="0" w:line="240" w:lineRule="auto"/>
              <w:jc w:val="center"/>
              <w:rPr>
                <w:rFonts w:ascii="Arial" w:eastAsia="Times New Roman" w:hAnsi="Arial" w:cs="Arial"/>
                <w:sz w:val="18"/>
                <w:szCs w:val="18"/>
              </w:rPr>
            </w:pPr>
            <w:r w:rsidRPr="007C26A8">
              <w:rPr>
                <w:rFonts w:ascii="Arial" w:eastAsia="Times New Roman" w:hAnsi="Arial" w:cs="Arial"/>
                <w:sz w:val="18"/>
                <w:szCs w:val="18"/>
              </w:rPr>
              <w:t>10</w:t>
            </w:r>
          </w:p>
        </w:tc>
      </w:tr>
    </w:tbl>
    <w:p w:rsidR="00555678" w:rsidRDefault="00555678" w:rsidP="00555678">
      <w:pPr>
        <w:pStyle w:val="ListParagraph"/>
        <w:spacing w:after="0" w:line="240" w:lineRule="auto"/>
        <w:ind w:left="1800"/>
        <w:rPr>
          <w:sz w:val="24"/>
          <w:szCs w:val="24"/>
        </w:rPr>
      </w:pPr>
    </w:p>
    <w:p w:rsidR="007C26A8" w:rsidRDefault="002415E8" w:rsidP="00555678">
      <w:pPr>
        <w:pStyle w:val="ListParagraph"/>
        <w:spacing w:after="0" w:line="240" w:lineRule="auto"/>
        <w:ind w:left="1800"/>
        <w:rPr>
          <w:sz w:val="24"/>
          <w:szCs w:val="24"/>
        </w:rPr>
      </w:pPr>
      <w:r>
        <w:rPr>
          <w:sz w:val="24"/>
          <w:szCs w:val="24"/>
        </w:rPr>
        <w:t>While the Mathematics Department serves almost all students, m</w:t>
      </w:r>
      <w:r w:rsidR="007C26A8">
        <w:rPr>
          <w:sz w:val="24"/>
          <w:szCs w:val="24"/>
        </w:rPr>
        <w:t>ost students take mathematics course</w:t>
      </w:r>
      <w:r w:rsidR="00B114A7">
        <w:rPr>
          <w:sz w:val="24"/>
          <w:szCs w:val="24"/>
        </w:rPr>
        <w:t>s</w:t>
      </w:r>
      <w:r w:rsidR="007C26A8">
        <w:rPr>
          <w:sz w:val="24"/>
          <w:szCs w:val="24"/>
        </w:rPr>
        <w:t xml:space="preserve"> as part of another program.</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264E88" w:rsidP="00555678">
      <w:pPr>
        <w:pStyle w:val="ListParagraph"/>
        <w:spacing w:after="0" w:line="240" w:lineRule="auto"/>
        <w:ind w:left="1800"/>
        <w:rPr>
          <w:sz w:val="24"/>
          <w:szCs w:val="24"/>
        </w:rPr>
      </w:pPr>
      <w:r>
        <w:rPr>
          <w:sz w:val="24"/>
          <w:szCs w:val="24"/>
        </w:rPr>
        <w:t>We would like to see more emphasis on development of students for transfer to educational programs which will lead to employment in the Imperial Valley. In particular, demand for various engineering fields in the Valley is high. IVC has received a $375,000 endowment from First Solar, with more to come</w:t>
      </w:r>
      <w:r w:rsidR="00643F68">
        <w:rPr>
          <w:sz w:val="24"/>
          <w:szCs w:val="24"/>
        </w:rPr>
        <w:t>,</w:t>
      </w:r>
      <w:r>
        <w:rPr>
          <w:sz w:val="24"/>
          <w:szCs w:val="24"/>
        </w:rPr>
        <w:t xml:space="preserve"> specifically earmarked to develop engineers in the Valley.</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Default="00264E88" w:rsidP="00C32B0F">
      <w:pPr>
        <w:spacing w:after="0" w:line="240" w:lineRule="auto"/>
        <w:ind w:left="1440"/>
        <w:rPr>
          <w:sz w:val="24"/>
          <w:szCs w:val="24"/>
        </w:rPr>
      </w:pPr>
      <w:r>
        <w:rPr>
          <w:sz w:val="24"/>
          <w:szCs w:val="24"/>
        </w:rPr>
        <w:t>In 2010 we expanded the developmental math sequence from three course</w:t>
      </w:r>
      <w:r w:rsidR="00BE074F">
        <w:rPr>
          <w:sz w:val="24"/>
          <w:szCs w:val="24"/>
        </w:rPr>
        <w:t>s</w:t>
      </w:r>
      <w:r>
        <w:rPr>
          <w:sz w:val="24"/>
          <w:szCs w:val="24"/>
        </w:rPr>
        <w:t xml:space="preserve"> to four and from 10 units to 15. It was hoped that these changes would lead to an increase in student success</w:t>
      </w:r>
      <w:r w:rsidR="00643F68">
        <w:rPr>
          <w:sz w:val="24"/>
          <w:szCs w:val="24"/>
        </w:rPr>
        <w:t>, eventually reducing the demand</w:t>
      </w:r>
      <w:r>
        <w:rPr>
          <w:sz w:val="24"/>
          <w:szCs w:val="24"/>
        </w:rPr>
        <w:t>. We have indeed seen a recent trend for less demand for math 91 in particular. There are three potential reasons for this: 1) better success rates due to the increase in units; 2) generally lower enrollment at IVC; 3) the increase in exit points in the developmental math sequence.</w:t>
      </w:r>
    </w:p>
    <w:p w:rsidR="00BE074F" w:rsidRDefault="00BE074F" w:rsidP="00C32B0F">
      <w:pPr>
        <w:spacing w:after="0" w:line="240" w:lineRule="auto"/>
        <w:ind w:left="1440"/>
        <w:rPr>
          <w:sz w:val="24"/>
          <w:szCs w:val="24"/>
        </w:rPr>
      </w:pPr>
    </w:p>
    <w:p w:rsidR="00264E88" w:rsidRPr="00AE599F" w:rsidRDefault="00264E88" w:rsidP="00C32B0F">
      <w:pPr>
        <w:spacing w:after="0" w:line="240" w:lineRule="auto"/>
        <w:ind w:left="1440"/>
        <w:rPr>
          <w:sz w:val="24"/>
          <w:szCs w:val="24"/>
        </w:rPr>
      </w:pPr>
      <w:r>
        <w:rPr>
          <w:sz w:val="24"/>
          <w:szCs w:val="24"/>
        </w:rPr>
        <w:t>The IVC Math Dept</w:t>
      </w:r>
      <w:r w:rsidR="004206CD">
        <w:rPr>
          <w:sz w:val="24"/>
          <w:szCs w:val="24"/>
        </w:rPr>
        <w:t>.</w:t>
      </w:r>
      <w:r>
        <w:rPr>
          <w:sz w:val="24"/>
          <w:szCs w:val="24"/>
        </w:rPr>
        <w:t xml:space="preserve"> is reviewing the success of the 2010 sequence change. We may offer a combined math61/math71 to reduce the </w:t>
      </w:r>
      <w:r w:rsidR="00BE074F">
        <w:rPr>
          <w:sz w:val="24"/>
          <w:szCs w:val="24"/>
        </w:rPr>
        <w:lastRenderedPageBreak/>
        <w:t xml:space="preserve">number of exit points.  </w:t>
      </w:r>
      <w:r>
        <w:rPr>
          <w:sz w:val="24"/>
          <w:szCs w:val="24"/>
        </w:rPr>
        <w:t>We are now offering Math 91 and Math 119 sections online. We will be developing a Math 81 online for delivery in Spring 2015.</w:t>
      </w:r>
    </w:p>
    <w:p w:rsidR="00C521EC" w:rsidRDefault="00C521EC" w:rsidP="00271A0B">
      <w:pPr>
        <w:spacing w:after="0" w:line="240" w:lineRule="auto"/>
        <w:ind w:left="1440"/>
        <w:rPr>
          <w:sz w:val="24"/>
          <w:szCs w:val="24"/>
        </w:rPr>
      </w:pPr>
    </w:p>
    <w:p w:rsidR="00BE074F"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xml:space="preserve">. </w:t>
      </w:r>
    </w:p>
    <w:p w:rsidR="006C7590" w:rsidRPr="004111B8" w:rsidRDefault="00A2467D" w:rsidP="00BE074F">
      <w:pPr>
        <w:pStyle w:val="ListParagraph"/>
        <w:spacing w:after="0" w:line="240" w:lineRule="auto"/>
        <w:ind w:left="1440"/>
        <w:rPr>
          <w:sz w:val="24"/>
          <w:szCs w:val="24"/>
        </w:rPr>
      </w:pPr>
      <w:r w:rsidRPr="004111B8">
        <w:rPr>
          <w:sz w:val="24"/>
          <w:szCs w:val="24"/>
        </w:rPr>
        <w:t>For</w:t>
      </w:r>
      <w:r w:rsidR="006C7590" w:rsidRPr="004111B8">
        <w:rPr>
          <w:sz w:val="24"/>
          <w:szCs w:val="24"/>
        </w:rPr>
        <w:t xml:space="preserve"> CTE programs</w:t>
      </w:r>
      <w:r w:rsidRPr="004111B8">
        <w:rPr>
          <w:sz w:val="24"/>
          <w:szCs w:val="24"/>
        </w:rPr>
        <w:t>,</w:t>
      </w:r>
      <w:r w:rsidR="006C7590" w:rsidRPr="004111B8">
        <w:rPr>
          <w:sz w:val="24"/>
          <w:szCs w:val="24"/>
        </w:rPr>
        <w:t xml:space="preserve"> </w:t>
      </w:r>
      <w:r w:rsidRPr="004111B8">
        <w:rPr>
          <w:sz w:val="24"/>
          <w:szCs w:val="24"/>
        </w:rPr>
        <w:t xml:space="preserve">also include </w:t>
      </w:r>
      <w:r w:rsidR="006C7590" w:rsidRPr="004111B8">
        <w:rPr>
          <w:sz w:val="24"/>
          <w:szCs w:val="24"/>
        </w:rPr>
        <w:t>labor market projections</w:t>
      </w:r>
      <w:r w:rsidR="00BA22FE" w:rsidRPr="004111B8">
        <w:rPr>
          <w:sz w:val="24"/>
          <w:szCs w:val="24"/>
        </w:rPr>
        <w:t>, placement, and performance on external testing/exams (i.e. ASE, NABCEP)</w:t>
      </w:r>
      <w:r w:rsidR="006C7590"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BE074F" w:rsidRDefault="004206CD" w:rsidP="006D4F29">
      <w:pPr>
        <w:spacing w:after="0" w:line="240" w:lineRule="auto"/>
        <w:ind w:left="1440"/>
        <w:rPr>
          <w:sz w:val="24"/>
          <w:szCs w:val="24"/>
        </w:rPr>
      </w:pPr>
      <w:bookmarkStart w:id="2" w:name="_GoBack"/>
      <w:r>
        <w:rPr>
          <w:sz w:val="24"/>
          <w:szCs w:val="24"/>
        </w:rPr>
        <w:t>The math program is more than viable and sustainable with Fill Rates 95%-105%,</w:t>
      </w:r>
      <w:r>
        <w:rPr>
          <w:sz w:val="24"/>
          <w:szCs w:val="24"/>
        </w:rPr>
        <w:t xml:space="preserve"> WSCH:FTEF 558-589 in past 3 semesters, and a positive direction in FTES returning.  </w:t>
      </w:r>
      <w:r w:rsidR="00BE074F">
        <w:rPr>
          <w:sz w:val="24"/>
          <w:szCs w:val="24"/>
        </w:rPr>
        <w:t xml:space="preserve">MATH </w:t>
      </w:r>
      <w:r w:rsidR="00D34BD6">
        <w:rPr>
          <w:sz w:val="24"/>
          <w:szCs w:val="24"/>
        </w:rPr>
        <w:t>degree completion</w:t>
      </w:r>
      <w:r w:rsidR="00BE074F">
        <w:rPr>
          <w:sz w:val="24"/>
          <w:szCs w:val="24"/>
        </w:rPr>
        <w:t xml:space="preserve"> of 35</w:t>
      </w:r>
      <w:r>
        <w:rPr>
          <w:sz w:val="24"/>
          <w:szCs w:val="24"/>
        </w:rPr>
        <w:t xml:space="preserve"> is fairly good and MATH AS</w:t>
      </w:r>
      <w:r w:rsidR="00BE074F">
        <w:rPr>
          <w:sz w:val="24"/>
          <w:szCs w:val="24"/>
        </w:rPr>
        <w:t xml:space="preserve">-T </w:t>
      </w:r>
      <w:r>
        <w:rPr>
          <w:sz w:val="24"/>
          <w:szCs w:val="24"/>
        </w:rPr>
        <w:t xml:space="preserve">completions of 10 is excellent considering the limited time the AS-T has been available.  </w:t>
      </w:r>
    </w:p>
    <w:p w:rsidR="004206CD" w:rsidRDefault="004206CD" w:rsidP="006D4F29">
      <w:pPr>
        <w:spacing w:after="0" w:line="240" w:lineRule="auto"/>
        <w:ind w:left="1440"/>
        <w:rPr>
          <w:sz w:val="24"/>
          <w:szCs w:val="24"/>
        </w:rPr>
      </w:pPr>
    </w:p>
    <w:bookmarkEnd w:id="2"/>
    <w:p w:rsidR="00BE074F" w:rsidRDefault="00BE074F" w:rsidP="006D4F29">
      <w:pPr>
        <w:spacing w:after="0" w:line="240" w:lineRule="auto"/>
        <w:ind w:left="1440"/>
        <w:rPr>
          <w:sz w:val="24"/>
          <w:szCs w:val="24"/>
        </w:rPr>
      </w:pPr>
    </w:p>
    <w:p w:rsidR="00BE074F" w:rsidRDefault="00BE074F" w:rsidP="006D4F29">
      <w:pPr>
        <w:spacing w:after="0" w:line="240" w:lineRule="auto"/>
        <w:ind w:left="1440"/>
        <w:rPr>
          <w:sz w:val="24"/>
          <w:szCs w:val="24"/>
        </w:rPr>
      </w:pPr>
    </w:p>
    <w:p w:rsidR="00AE5C40" w:rsidRDefault="00591D3B" w:rsidP="006D4F29">
      <w:pPr>
        <w:spacing w:after="0" w:line="240" w:lineRule="auto"/>
        <w:ind w:left="1440"/>
        <w:rPr>
          <w:sz w:val="24"/>
          <w:szCs w:val="24"/>
        </w:rPr>
      </w:pPr>
      <w:r w:rsidRPr="00AE599F">
        <w:rPr>
          <w:sz w:val="24"/>
          <w:szCs w:val="24"/>
        </w:rPr>
        <w:fldChar w:fldCharType="begin">
          <w:ffData>
            <w:name w:val="Text3"/>
            <w:enabled/>
            <w:calcOnExit w:val="0"/>
            <w:textInput/>
          </w:ffData>
        </w:fldChar>
      </w:r>
      <w:r w:rsidR="006454E3" w:rsidRPr="00AE599F">
        <w:rPr>
          <w:sz w:val="24"/>
          <w:szCs w:val="24"/>
        </w:rPr>
        <w:instrText xml:space="preserve"> FORMTEXT </w:instrText>
      </w:r>
      <w:r w:rsidRPr="00AE599F">
        <w:rPr>
          <w:sz w:val="24"/>
          <w:szCs w:val="24"/>
        </w:rPr>
      </w:r>
      <w:r w:rsidRPr="00AE599F">
        <w:rPr>
          <w:sz w:val="24"/>
          <w:szCs w:val="24"/>
        </w:rPr>
        <w:fldChar w:fldCharType="separate"/>
      </w:r>
      <w:r w:rsidR="006454E3" w:rsidRPr="00AE599F">
        <w:rPr>
          <w:noProof/>
          <w:sz w:val="24"/>
          <w:szCs w:val="24"/>
        </w:rPr>
        <w:t> </w:t>
      </w:r>
      <w:r w:rsidR="006454E3" w:rsidRPr="00AE599F">
        <w:rPr>
          <w:noProof/>
          <w:sz w:val="24"/>
          <w:szCs w:val="24"/>
        </w:rPr>
        <w:t> </w:t>
      </w:r>
      <w:r w:rsidR="006454E3" w:rsidRPr="00AE599F">
        <w:rPr>
          <w:noProof/>
          <w:sz w:val="24"/>
          <w:szCs w:val="24"/>
        </w:rPr>
        <w:t> </w:t>
      </w:r>
      <w:r w:rsidR="006454E3" w:rsidRPr="00AE599F">
        <w:rPr>
          <w:noProof/>
          <w:sz w:val="24"/>
          <w:szCs w:val="24"/>
        </w:rPr>
        <w:t> </w:t>
      </w:r>
      <w:r w:rsidR="006454E3" w:rsidRPr="00AE599F">
        <w:rPr>
          <w:noProof/>
          <w:sz w:val="24"/>
          <w:szCs w:val="24"/>
        </w:rPr>
        <w:t> </w:t>
      </w:r>
      <w:r w:rsidRPr="00AE599F">
        <w:rPr>
          <w:sz w:val="24"/>
          <w:szCs w:val="24"/>
        </w:rPr>
        <w:fldChar w:fldCharType="end"/>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ED52AB">
            <w:pPr>
              <w:rPr>
                <w:sz w:val="24"/>
                <w:szCs w:val="24"/>
              </w:rPr>
            </w:pPr>
            <w:r w:rsidRPr="005707F9">
              <w:rPr>
                <w:b/>
                <w:sz w:val="24"/>
                <w:szCs w:val="24"/>
              </w:rPr>
              <w:t>Identify Goal:</w:t>
            </w:r>
            <w:r w:rsidRPr="005707F9">
              <w:rPr>
                <w:sz w:val="24"/>
                <w:szCs w:val="24"/>
              </w:rPr>
              <w:t xml:space="preserve"> </w:t>
            </w:r>
            <w:r w:rsidR="00ED52AB">
              <w:rPr>
                <w:sz w:val="24"/>
                <w:szCs w:val="24"/>
              </w:rPr>
              <w:t>Replace Retiring Faculty</w:t>
            </w:r>
          </w:p>
        </w:tc>
        <w:tc>
          <w:tcPr>
            <w:tcW w:w="1980" w:type="dxa"/>
            <w:vMerge w:val="restart"/>
            <w:tcBorders>
              <w:top w:val="single" w:sz="4" w:space="0" w:color="auto"/>
              <w:left w:val="dotted" w:sz="4" w:space="0" w:color="auto"/>
              <w:right w:val="single" w:sz="4" w:space="0" w:color="auto"/>
            </w:tcBorders>
          </w:tcPr>
          <w:p w:rsidR="003B17D4" w:rsidRPr="003B17D4" w:rsidRDefault="00ED52A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D52A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ED52A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591D3B"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D52AB">
            <w:pPr>
              <w:rPr>
                <w:sz w:val="24"/>
                <w:szCs w:val="24"/>
              </w:rPr>
            </w:pPr>
            <w:r w:rsidRPr="005707F9">
              <w:rPr>
                <w:b/>
                <w:sz w:val="24"/>
                <w:szCs w:val="24"/>
              </w:rPr>
              <w:t>Objective</w:t>
            </w:r>
            <w:r w:rsidR="00ED52AB" w:rsidRPr="00B30971">
              <w:rPr>
                <w:sz w:val="24"/>
                <w:szCs w:val="24"/>
              </w:rPr>
              <w:t xml:space="preserve"> </w:t>
            </w:r>
            <w:r w:rsidR="00ED52AB" w:rsidRPr="005707F9">
              <w:rPr>
                <w:b/>
                <w:sz w:val="24"/>
                <w:szCs w:val="24"/>
              </w:rPr>
              <w:t>:</w:t>
            </w:r>
            <w:r w:rsidR="00ED52AB">
              <w:rPr>
                <w:b/>
                <w:sz w:val="24"/>
                <w:szCs w:val="24"/>
              </w:rPr>
              <w:t xml:space="preserve"> </w:t>
            </w:r>
            <w:r w:rsidR="00ED52AB" w:rsidRPr="00ED52AB">
              <w:rPr>
                <w:sz w:val="24"/>
                <w:szCs w:val="24"/>
              </w:rPr>
              <w:t>Replace Barbara Nilson, project to replacing Betsy Riehle</w:t>
            </w: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D52AB">
            <w:pPr>
              <w:rPr>
                <w:sz w:val="24"/>
                <w:szCs w:val="24"/>
              </w:rPr>
            </w:pPr>
            <w:r w:rsidRPr="005707F9">
              <w:rPr>
                <w:b/>
                <w:sz w:val="24"/>
                <w:szCs w:val="24"/>
              </w:rPr>
              <w:t>Task(s):</w:t>
            </w:r>
            <w:r w:rsidRPr="005707F9">
              <w:rPr>
                <w:sz w:val="24"/>
                <w:szCs w:val="24"/>
              </w:rPr>
              <w:t xml:space="preserve"> </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ED52AB">
              <w:rPr>
                <w:sz w:val="24"/>
                <w:szCs w:val="24"/>
              </w:rPr>
              <w:t>Immediate</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591D3B" w:rsidP="005707F9">
            <w:pPr>
              <w:rPr>
                <w:sz w:val="24"/>
                <w:szCs w:val="24"/>
              </w:rPr>
            </w:pPr>
            <w:r w:rsidRPr="005707F9">
              <w:rPr>
                <w:sz w:val="24"/>
                <w:szCs w:val="24"/>
              </w:rPr>
              <w:fldChar w:fldCharType="begin">
                <w:ffData>
                  <w:name w:val="Check1"/>
                  <w:enabled/>
                  <w:calcOnExit w:val="0"/>
                  <w:checkBox>
                    <w:sizeAuto/>
                    <w:default w:val="0"/>
                  </w:checkBox>
                </w:ffData>
              </w:fldChar>
            </w:r>
            <w:bookmarkStart w:id="3" w:name="Check1"/>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3"/>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bookmarkStart w:id="4" w:name="Check2"/>
          <w:p w:rsidR="006854CC" w:rsidRPr="005707F9" w:rsidRDefault="00ED52AB" w:rsidP="005707F9">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4"/>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591D3B" w:rsidP="005707F9">
            <w:pPr>
              <w:rPr>
                <w:sz w:val="24"/>
                <w:szCs w:val="24"/>
              </w:rPr>
            </w:pPr>
            <w:r w:rsidRPr="005707F9">
              <w:rPr>
                <w:sz w:val="24"/>
                <w:szCs w:val="24"/>
              </w:rPr>
              <w:fldChar w:fldCharType="begin">
                <w:ffData>
                  <w:name w:val="Check3"/>
                  <w:enabled/>
                  <w:calcOnExit w:val="0"/>
                  <w:checkBox>
                    <w:sizeAuto/>
                    <w:default w:val="0"/>
                  </w:checkBox>
                </w:ffData>
              </w:fldChar>
            </w:r>
            <w:bookmarkStart w:id="5" w:name="Check3"/>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5"/>
            <w:r w:rsidR="006854CC" w:rsidRPr="005707F9">
              <w:rPr>
                <w:sz w:val="24"/>
                <w:szCs w:val="24"/>
              </w:rPr>
              <w:t xml:space="preserve"> C</w:t>
            </w:r>
            <w:r w:rsidR="006854CC">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591D3B" w:rsidRPr="005707F9">
              <w:rPr>
                <w:sz w:val="24"/>
                <w:szCs w:val="24"/>
              </w:rPr>
              <w:fldChar w:fldCharType="begin">
                <w:ffData>
                  <w:name w:val="Text7"/>
                  <w:enabled/>
                  <w:calcOnExit w:val="0"/>
                  <w:textInput/>
                </w:ffData>
              </w:fldChar>
            </w:r>
            <w:bookmarkStart w:id="6" w:name="Text7"/>
            <w:r w:rsidRPr="005707F9">
              <w:rPr>
                <w:sz w:val="24"/>
                <w:szCs w:val="24"/>
              </w:rPr>
              <w:instrText xml:space="preserve"> FORMTEXT </w:instrText>
            </w:r>
            <w:r w:rsidR="00591D3B" w:rsidRPr="005707F9">
              <w:rPr>
                <w:sz w:val="24"/>
                <w:szCs w:val="24"/>
              </w:rPr>
            </w:r>
            <w:r w:rsidR="00591D3B"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591D3B" w:rsidRPr="005707F9">
              <w:rPr>
                <w:sz w:val="24"/>
                <w:szCs w:val="24"/>
              </w:rPr>
              <w:fldChar w:fldCharType="end"/>
            </w:r>
            <w:bookmarkEnd w:id="6"/>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591D3B" w:rsidP="005707F9">
            <w:pPr>
              <w:rPr>
                <w:sz w:val="24"/>
                <w:szCs w:val="24"/>
              </w:rPr>
            </w:pPr>
            <w:r w:rsidRPr="005707F9">
              <w:rPr>
                <w:sz w:val="24"/>
                <w:szCs w:val="24"/>
              </w:rPr>
              <w:fldChar w:fldCharType="begin">
                <w:ffData>
                  <w:name w:val="Check4"/>
                  <w:enabled/>
                  <w:calcOnExit w:val="0"/>
                  <w:checkBox>
                    <w:sizeAuto/>
                    <w:default w:val="0"/>
                  </w:checkBox>
                </w:ffData>
              </w:fldChar>
            </w:r>
            <w:bookmarkStart w:id="7" w:name="Check4"/>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7"/>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591D3B"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591D3B"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591D3B" w:rsidP="006854CC">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Technology</w:t>
            </w:r>
          </w:p>
          <w:p w:rsidR="006854CC" w:rsidRDefault="00591D3B" w:rsidP="006854CC">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ED52AB"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ED52AB">
            <w:pPr>
              <w:jc w:val="right"/>
              <w:rPr>
                <w:sz w:val="24"/>
                <w:szCs w:val="24"/>
              </w:rPr>
            </w:pPr>
            <w:r w:rsidRPr="005707F9">
              <w:rPr>
                <w:sz w:val="24"/>
                <w:szCs w:val="24"/>
              </w:rPr>
              <w:t>$</w:t>
            </w:r>
            <w:r w:rsidR="00ED52AB">
              <w:rPr>
                <w:sz w:val="24"/>
                <w:szCs w:val="24"/>
                <w:u w:val="single"/>
              </w:rPr>
              <w:t>130,000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ED52AB" w:rsidRPr="005707F9" w:rsidRDefault="00D001FF" w:rsidP="00ED52AB">
            <w:pPr>
              <w:rPr>
                <w:sz w:val="24"/>
                <w:szCs w:val="24"/>
              </w:rPr>
            </w:pPr>
            <w:r w:rsidRPr="00B30971">
              <w:rPr>
                <w:b/>
                <w:sz w:val="24"/>
                <w:szCs w:val="24"/>
              </w:rPr>
              <w:t>Identify Goal:</w:t>
            </w:r>
            <w:r w:rsidRPr="00B30971">
              <w:rPr>
                <w:sz w:val="24"/>
                <w:szCs w:val="24"/>
              </w:rPr>
              <w:t xml:space="preserve"> </w:t>
            </w:r>
            <w:r w:rsidR="00ED52AB">
              <w:rPr>
                <w:sz w:val="24"/>
                <w:szCs w:val="24"/>
              </w:rPr>
              <w:t>Expand hybrid math classroom opportunities and make easier access to the Math Lab.</w:t>
            </w:r>
          </w:p>
          <w:p w:rsidR="00D001FF" w:rsidRPr="00B30971" w:rsidRDefault="00D001FF" w:rsidP="004A2B92">
            <w:pPr>
              <w:rPr>
                <w:sz w:val="24"/>
                <w:szCs w:val="24"/>
              </w:rPr>
            </w:pP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ED52A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D52A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ED52A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591D3B"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ED52AB" w:rsidRPr="005707F9" w:rsidRDefault="00D001FF" w:rsidP="00ED52AB">
            <w:pPr>
              <w:rPr>
                <w:sz w:val="24"/>
                <w:szCs w:val="24"/>
              </w:rPr>
            </w:pPr>
            <w:r w:rsidRPr="00B30971">
              <w:rPr>
                <w:b/>
                <w:sz w:val="24"/>
                <w:szCs w:val="24"/>
              </w:rPr>
              <w:t>Objective:</w:t>
            </w:r>
            <w:r w:rsidR="00ED52AB" w:rsidRPr="005707F9">
              <w:rPr>
                <w:sz w:val="24"/>
                <w:szCs w:val="24"/>
              </w:rPr>
              <w:t xml:space="preserve"> </w:t>
            </w:r>
            <w:r w:rsidR="00ED52AB">
              <w:rPr>
                <w:sz w:val="24"/>
                <w:szCs w:val="24"/>
              </w:rPr>
              <w:t>Increase student success in developmental classes.</w:t>
            </w:r>
          </w:p>
          <w:p w:rsidR="00D001FF" w:rsidRPr="00B30971" w:rsidRDefault="00D001FF" w:rsidP="004A2B92">
            <w:pPr>
              <w:rPr>
                <w:sz w:val="24"/>
                <w:szCs w:val="24"/>
              </w:rPr>
            </w:pP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ED52AB" w:rsidRPr="005707F9" w:rsidRDefault="00D001FF" w:rsidP="00ED52AB">
            <w:pPr>
              <w:rPr>
                <w:sz w:val="24"/>
                <w:szCs w:val="24"/>
              </w:rPr>
            </w:pPr>
            <w:r w:rsidRPr="00B30971">
              <w:rPr>
                <w:b/>
                <w:sz w:val="24"/>
                <w:szCs w:val="24"/>
              </w:rPr>
              <w:t>Task(s):</w:t>
            </w:r>
            <w:r w:rsidRPr="00B30971">
              <w:rPr>
                <w:sz w:val="24"/>
                <w:szCs w:val="24"/>
              </w:rPr>
              <w:t xml:space="preserve"> </w:t>
            </w:r>
            <w:r w:rsidR="00ED52AB">
              <w:rPr>
                <w:sz w:val="24"/>
                <w:szCs w:val="24"/>
              </w:rPr>
              <w:t>Move Math Lab closer to math classrooms. Create a computer classroom for hybrid classes.</w:t>
            </w:r>
          </w:p>
          <w:p w:rsidR="00D001FF" w:rsidRPr="00B30971" w:rsidRDefault="00D001FF" w:rsidP="004A2B92">
            <w:pPr>
              <w:rPr>
                <w:sz w:val="24"/>
                <w:szCs w:val="24"/>
              </w:rPr>
            </w:pP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ED52AB">
              <w:rPr>
                <w:sz w:val="24"/>
                <w:szCs w:val="24"/>
              </w:rPr>
              <w:t>Two Years</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733C7B">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733C7B">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733C7B">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733C7B">
            <w:pPr>
              <w:jc w:val="center"/>
              <w:rPr>
                <w:b/>
                <w:sz w:val="24"/>
                <w:szCs w:val="24"/>
              </w:rPr>
            </w:pPr>
            <w:r w:rsidRPr="00455861">
              <w:rPr>
                <w:b/>
                <w:sz w:val="24"/>
                <w:szCs w:val="24"/>
              </w:rPr>
              <w:t>RESOURCE PLAN</w:t>
            </w:r>
          </w:p>
          <w:p w:rsidR="006854CC" w:rsidRPr="00455861" w:rsidRDefault="006854CC" w:rsidP="00733C7B">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733C7B">
            <w:pPr>
              <w:jc w:val="center"/>
              <w:rPr>
                <w:b/>
                <w:sz w:val="24"/>
                <w:szCs w:val="24"/>
              </w:rPr>
            </w:pPr>
            <w:r w:rsidRPr="00455861">
              <w:rPr>
                <w:b/>
                <w:sz w:val="24"/>
                <w:szCs w:val="24"/>
              </w:rPr>
              <w:t>BUDGET REQUEST</w:t>
            </w:r>
          </w:p>
        </w:tc>
      </w:tr>
      <w:tr w:rsidR="006854CC" w:rsidTr="00733C7B">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733C7B">
            <w:pPr>
              <w:rPr>
                <w:sz w:val="24"/>
                <w:szCs w:val="24"/>
              </w:rPr>
            </w:pPr>
          </w:p>
          <w:p w:rsidR="006854CC" w:rsidRDefault="00ED52A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733C7B">
            <w:pPr>
              <w:rPr>
                <w:sz w:val="24"/>
                <w:szCs w:val="24"/>
              </w:rPr>
            </w:pPr>
          </w:p>
          <w:p w:rsidR="006854CC" w:rsidRPr="005707F9" w:rsidRDefault="00591D3B" w:rsidP="00733C7B">
            <w:pPr>
              <w:rPr>
                <w:sz w:val="24"/>
                <w:szCs w:val="24"/>
              </w:rPr>
            </w:pPr>
            <w:r w:rsidRPr="005707F9">
              <w:rPr>
                <w:sz w:val="24"/>
                <w:szCs w:val="24"/>
              </w:rPr>
              <w:fldChar w:fldCharType="begin">
                <w:ffData>
                  <w:name w:val="Check2"/>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733C7B">
            <w:pPr>
              <w:rPr>
                <w:sz w:val="24"/>
                <w:szCs w:val="24"/>
              </w:rPr>
            </w:pPr>
          </w:p>
          <w:p w:rsidR="006854CC" w:rsidRDefault="00591D3B" w:rsidP="00733C7B">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733C7B">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591D3B" w:rsidRPr="005707F9">
              <w:rPr>
                <w:sz w:val="24"/>
                <w:szCs w:val="24"/>
              </w:rPr>
              <w:fldChar w:fldCharType="begin">
                <w:ffData>
                  <w:name w:val="Text7"/>
                  <w:enabled/>
                  <w:calcOnExit w:val="0"/>
                  <w:textInput/>
                </w:ffData>
              </w:fldChar>
            </w:r>
            <w:r w:rsidRPr="005707F9">
              <w:rPr>
                <w:sz w:val="24"/>
                <w:szCs w:val="24"/>
              </w:rPr>
              <w:instrText xml:space="preserve"> FORMTEXT </w:instrText>
            </w:r>
            <w:r w:rsidR="00591D3B" w:rsidRPr="005707F9">
              <w:rPr>
                <w:sz w:val="24"/>
                <w:szCs w:val="24"/>
              </w:rPr>
            </w:r>
            <w:r w:rsidR="00591D3B"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591D3B"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733C7B">
            <w:pPr>
              <w:rPr>
                <w:sz w:val="24"/>
                <w:szCs w:val="24"/>
              </w:rPr>
            </w:pPr>
          </w:p>
          <w:p w:rsidR="006854CC" w:rsidRPr="005707F9" w:rsidRDefault="00ED52A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ED52A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591D3B" w:rsidP="00733C7B">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ED52A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591D3B" w:rsidP="00733C7B">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591D3B" w:rsidP="00733C7B">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ED52AB">
            <w:pPr>
              <w:jc w:val="right"/>
              <w:rPr>
                <w:sz w:val="24"/>
                <w:szCs w:val="24"/>
              </w:rPr>
            </w:pPr>
            <w:r w:rsidRPr="005707F9">
              <w:rPr>
                <w:sz w:val="24"/>
                <w:szCs w:val="24"/>
              </w:rPr>
              <w:t>$</w:t>
            </w:r>
            <w:r w:rsidR="00ED52AB">
              <w:rPr>
                <w:sz w:val="24"/>
                <w:szCs w:val="24"/>
                <w:u w:val="single"/>
              </w:rPr>
              <w:t>100,000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ED52AB">
              <w:rPr>
                <w:sz w:val="24"/>
                <w:szCs w:val="24"/>
              </w:rPr>
              <w:t>Resurrect the Pre-engineering program</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C22AB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C22AB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C22AB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591D3B"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ED52AB">
              <w:rPr>
                <w:sz w:val="24"/>
                <w:szCs w:val="24"/>
              </w:rPr>
              <w:t>Create AS-T future engineers to meet the local demand</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00ED52AB">
              <w:rPr>
                <w:sz w:val="24"/>
                <w:szCs w:val="24"/>
              </w:rPr>
              <w:t>Hire 50/50 Math and Engineering faculty member</w:t>
            </w:r>
          </w:p>
          <w:p w:rsidR="00ED52AB" w:rsidRDefault="00C22ABB" w:rsidP="004A2B92">
            <w:pPr>
              <w:rPr>
                <w:sz w:val="24"/>
                <w:szCs w:val="24"/>
              </w:rPr>
            </w:pPr>
            <w:r>
              <w:rPr>
                <w:sz w:val="24"/>
                <w:szCs w:val="24"/>
              </w:rPr>
              <w:t xml:space="preserve">               Rebuild pre-engineering program</w:t>
            </w:r>
          </w:p>
          <w:p w:rsidR="00677F10" w:rsidRDefault="00677F10" w:rsidP="004A2B92">
            <w:pPr>
              <w:rPr>
                <w:sz w:val="24"/>
                <w:szCs w:val="24"/>
              </w:rPr>
            </w:pPr>
            <w:r>
              <w:rPr>
                <w:sz w:val="24"/>
                <w:szCs w:val="24"/>
              </w:rPr>
              <w:t xml:space="preserve">               Develop partnerships with SDSU and/or CETYS</w:t>
            </w:r>
          </w:p>
          <w:p w:rsidR="00C22ABB" w:rsidRPr="00B30971" w:rsidRDefault="00C22ABB" w:rsidP="004A2B92">
            <w:pPr>
              <w:rPr>
                <w:sz w:val="24"/>
                <w:szCs w:val="24"/>
              </w:rPr>
            </w:pPr>
            <w:r>
              <w:rPr>
                <w:sz w:val="24"/>
                <w:szCs w:val="24"/>
              </w:rPr>
              <w:t xml:space="preserve">               Recruit students with First Solar scholarships</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C22ABB">
              <w:rPr>
                <w:sz w:val="24"/>
                <w:szCs w:val="24"/>
              </w:rPr>
              <w:t>two years</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733C7B">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733C7B">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733C7B">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733C7B">
            <w:pPr>
              <w:jc w:val="center"/>
              <w:rPr>
                <w:b/>
                <w:sz w:val="24"/>
                <w:szCs w:val="24"/>
              </w:rPr>
            </w:pPr>
            <w:r w:rsidRPr="00455861">
              <w:rPr>
                <w:b/>
                <w:sz w:val="24"/>
                <w:szCs w:val="24"/>
              </w:rPr>
              <w:t>RESOURCE PLAN</w:t>
            </w:r>
          </w:p>
          <w:p w:rsidR="00F84054" w:rsidRPr="00455861" w:rsidRDefault="00F84054" w:rsidP="00733C7B">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733C7B">
            <w:pPr>
              <w:jc w:val="center"/>
              <w:rPr>
                <w:b/>
                <w:sz w:val="24"/>
                <w:szCs w:val="24"/>
              </w:rPr>
            </w:pPr>
            <w:r w:rsidRPr="00455861">
              <w:rPr>
                <w:b/>
                <w:sz w:val="24"/>
                <w:szCs w:val="24"/>
              </w:rPr>
              <w:t>BUDGET REQUEST</w:t>
            </w:r>
          </w:p>
        </w:tc>
      </w:tr>
      <w:tr w:rsidR="00F84054" w:rsidTr="00733C7B">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733C7B">
            <w:pPr>
              <w:rPr>
                <w:sz w:val="24"/>
                <w:szCs w:val="24"/>
              </w:rPr>
            </w:pPr>
          </w:p>
          <w:p w:rsidR="00F84054" w:rsidRDefault="00591D3B" w:rsidP="00733C7B">
            <w:pPr>
              <w:rPr>
                <w:sz w:val="24"/>
                <w:szCs w:val="24"/>
              </w:rPr>
            </w:pPr>
            <w:r w:rsidRPr="005707F9">
              <w:rPr>
                <w:sz w:val="24"/>
                <w:szCs w:val="24"/>
              </w:rPr>
              <w:fldChar w:fldCharType="begin">
                <w:ffData>
                  <w:name w:val="Check1"/>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733C7B">
            <w:pPr>
              <w:rPr>
                <w:sz w:val="24"/>
                <w:szCs w:val="24"/>
              </w:rPr>
            </w:pPr>
          </w:p>
          <w:p w:rsidR="00F84054" w:rsidRPr="005707F9" w:rsidRDefault="00C22AB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733C7B">
            <w:pPr>
              <w:rPr>
                <w:sz w:val="24"/>
                <w:szCs w:val="24"/>
              </w:rPr>
            </w:pPr>
          </w:p>
          <w:p w:rsidR="00F84054" w:rsidRDefault="00591D3B" w:rsidP="00733C7B">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C</w:t>
            </w:r>
            <w:r w:rsidR="00F84054">
              <w:rPr>
                <w:sz w:val="24"/>
                <w:szCs w:val="24"/>
              </w:rPr>
              <w:t>ategorical</w:t>
            </w:r>
          </w:p>
          <w:p w:rsidR="00F84054" w:rsidRPr="005707F9" w:rsidRDefault="00F84054" w:rsidP="00733C7B">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591D3B" w:rsidRPr="005707F9">
              <w:rPr>
                <w:sz w:val="24"/>
                <w:szCs w:val="24"/>
              </w:rPr>
              <w:fldChar w:fldCharType="begin">
                <w:ffData>
                  <w:name w:val="Text7"/>
                  <w:enabled/>
                  <w:calcOnExit w:val="0"/>
                  <w:textInput/>
                </w:ffData>
              </w:fldChar>
            </w:r>
            <w:r w:rsidRPr="005707F9">
              <w:rPr>
                <w:sz w:val="24"/>
                <w:szCs w:val="24"/>
              </w:rPr>
              <w:instrText xml:space="preserve"> FORMTEXT </w:instrText>
            </w:r>
            <w:r w:rsidR="00591D3B" w:rsidRPr="005707F9">
              <w:rPr>
                <w:sz w:val="24"/>
                <w:szCs w:val="24"/>
              </w:rPr>
            </w:r>
            <w:r w:rsidR="00591D3B"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591D3B"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733C7B">
            <w:pPr>
              <w:rPr>
                <w:sz w:val="24"/>
                <w:szCs w:val="24"/>
              </w:rPr>
            </w:pPr>
          </w:p>
          <w:p w:rsidR="00F84054" w:rsidRPr="005707F9" w:rsidRDefault="00C22AB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C22AB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C22AB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M</w:t>
            </w:r>
            <w:r w:rsidR="00F84054" w:rsidRPr="005707F9">
              <w:rPr>
                <w:sz w:val="24"/>
                <w:szCs w:val="24"/>
              </w:rPr>
              <w:t>arketing</w:t>
            </w:r>
          </w:p>
          <w:p w:rsidR="00F84054" w:rsidRDefault="00C22AB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Technology</w:t>
            </w:r>
          </w:p>
          <w:p w:rsidR="00F84054" w:rsidRDefault="00591D3B" w:rsidP="00733C7B">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Professional Development</w:t>
            </w:r>
          </w:p>
          <w:p w:rsidR="00F84054" w:rsidRPr="005707F9" w:rsidRDefault="00C22ABB" w:rsidP="00733C7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C22ABB">
            <w:pPr>
              <w:jc w:val="right"/>
              <w:rPr>
                <w:sz w:val="24"/>
                <w:szCs w:val="24"/>
              </w:rPr>
            </w:pPr>
            <w:r w:rsidRPr="005707F9">
              <w:rPr>
                <w:sz w:val="24"/>
                <w:szCs w:val="24"/>
              </w:rPr>
              <w:t>$</w:t>
            </w:r>
            <w:r w:rsidR="00C22ABB">
              <w:rPr>
                <w:sz w:val="24"/>
                <w:szCs w:val="24"/>
                <w:u w:val="single"/>
              </w:rPr>
              <w:t>100,000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C22AB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C22ABB">
              <w:rPr>
                <w:sz w:val="32"/>
                <w:szCs w:val="32"/>
                <w:u w:val="single"/>
              </w:rPr>
              <w:t>330,000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677F10" w:rsidP="00B7252F">
      <w:pPr>
        <w:pStyle w:val="ListParagraph"/>
        <w:spacing w:after="0" w:line="240" w:lineRule="auto"/>
        <w:ind w:left="1080" w:firstLine="360"/>
        <w:rPr>
          <w:sz w:val="24"/>
          <w:szCs w:val="24"/>
        </w:rPr>
      </w:pPr>
      <w:r>
        <w:rPr>
          <w:sz w:val="24"/>
          <w:szCs w:val="24"/>
        </w:rPr>
        <w:t>The replacement instructors and the hybrid classroom will enable the IVC Math Dept to better serve all of our students, particularly those at the developmental math levels. The pre-engineering program will enable students to pursue a high-paid, high-demand career locally.</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8" w:name="Text4"/>
      <w:r w:rsidR="00591D3B" w:rsidRPr="00D140DE">
        <w:rPr>
          <w:sz w:val="24"/>
          <w:szCs w:val="24"/>
        </w:rPr>
        <w:fldChar w:fldCharType="begin">
          <w:ffData>
            <w:name w:val="Text4"/>
            <w:enabled/>
            <w:calcOnExit w:val="0"/>
            <w:textInput/>
          </w:ffData>
        </w:fldChar>
      </w:r>
      <w:r w:rsidRPr="00D140DE">
        <w:rPr>
          <w:sz w:val="24"/>
          <w:szCs w:val="24"/>
        </w:rPr>
        <w:instrText xml:space="preserve"> FORMTEXT </w:instrText>
      </w:r>
      <w:r w:rsidR="00591D3B" w:rsidRPr="00D140DE">
        <w:rPr>
          <w:sz w:val="24"/>
          <w:szCs w:val="24"/>
        </w:rPr>
      </w:r>
      <w:r w:rsidR="00591D3B"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591D3B" w:rsidRPr="00D140DE">
        <w:rPr>
          <w:sz w:val="24"/>
          <w:szCs w:val="24"/>
        </w:rPr>
        <w:fldChar w:fldCharType="end"/>
      </w:r>
      <w:bookmarkEnd w:id="8"/>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5A015C" w:rsidRPr="00B22E13">
              <w:rPr>
                <w:rFonts w:ascii="Times New Roman" w:hAnsi="Times New Roman"/>
                <w:sz w:val="28"/>
                <w:szCs w:val="28"/>
              </w:rPr>
              <w:t>Students will use mathematical reasoning to solve problems and a generalized problem solving process to work word problems.</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5A015C"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5A015C"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677F10"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677F10"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677F10" w:rsidP="006D4F2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A015C" w:rsidRPr="00E72847" w:rsidRDefault="004A2B92" w:rsidP="005A015C">
            <w:pPr>
              <w:pStyle w:val="ListParagraph"/>
              <w:ind w:left="1440" w:hanging="1547"/>
              <w:rPr>
                <w:rFonts w:ascii="Arial" w:hAnsi="Arial" w:cs="Arial"/>
                <w:sz w:val="24"/>
                <w:szCs w:val="24"/>
              </w:rPr>
            </w:pPr>
            <w:r w:rsidRPr="00C15830">
              <w:rPr>
                <w:b/>
                <w:sz w:val="24"/>
                <w:szCs w:val="24"/>
              </w:rPr>
              <w:t>Measurable Outcome Summary:</w:t>
            </w:r>
            <w:r w:rsidRPr="00C15830">
              <w:rPr>
                <w:sz w:val="24"/>
                <w:szCs w:val="24"/>
              </w:rPr>
              <w:t xml:space="preserve"> </w:t>
            </w:r>
            <w:r w:rsidR="005A015C">
              <w:rPr>
                <w:rFonts w:ascii="Arial" w:hAnsi="Arial" w:cs="Arial"/>
                <w:sz w:val="24"/>
                <w:szCs w:val="24"/>
              </w:rPr>
              <w:t>A total of 36 Calculus I students were assessed.</w:t>
            </w:r>
            <w:r w:rsidR="005A015C" w:rsidRPr="00902B0E">
              <w:rPr>
                <w:rFonts w:ascii="Arial" w:hAnsi="Arial" w:cs="Arial"/>
                <w:szCs w:val="24"/>
              </w:rPr>
              <w:t xml:space="preserve"> </w:t>
            </w:r>
            <w:r w:rsidR="005A015C">
              <w:rPr>
                <w:rFonts w:ascii="Arial" w:hAnsi="Arial" w:cs="Arial"/>
                <w:szCs w:val="24"/>
              </w:rPr>
              <w:t>42</w:t>
            </w:r>
            <w:r w:rsidR="005A015C" w:rsidRPr="008D7F05">
              <w:rPr>
                <w:rFonts w:ascii="Arial" w:hAnsi="Arial" w:cs="Arial"/>
                <w:szCs w:val="24"/>
              </w:rPr>
              <w:t>% showed complete understa</w:t>
            </w:r>
            <w:r w:rsidR="005A015C">
              <w:rPr>
                <w:rFonts w:ascii="Arial" w:hAnsi="Arial" w:cs="Arial"/>
                <w:szCs w:val="24"/>
              </w:rPr>
              <w:t>nding of the concept, another 33</w:t>
            </w:r>
            <w:r w:rsidR="005A015C" w:rsidRPr="008D7F05">
              <w:rPr>
                <w:rFonts w:ascii="Arial" w:hAnsi="Arial" w:cs="Arial"/>
                <w:szCs w:val="24"/>
              </w:rPr>
              <w:t>% show</w:t>
            </w:r>
            <w:r w:rsidR="005A015C">
              <w:rPr>
                <w:rFonts w:ascii="Arial" w:hAnsi="Arial" w:cs="Arial"/>
                <w:szCs w:val="24"/>
              </w:rPr>
              <w:t>ed partial understanding, and 25</w:t>
            </w:r>
            <w:r w:rsidR="005A015C" w:rsidRPr="008D7F05">
              <w:rPr>
                <w:rFonts w:ascii="Arial" w:hAnsi="Arial" w:cs="Arial"/>
                <w:szCs w:val="24"/>
              </w:rPr>
              <w:t>% showed little or no understanding</w:t>
            </w:r>
            <w:r w:rsidR="005A015C">
              <w:rPr>
                <w:rFonts w:ascii="Arial" w:hAnsi="Arial" w:cs="Arial"/>
                <w:szCs w:val="24"/>
              </w:rPr>
              <w:t>.</w:t>
            </w:r>
          </w:p>
          <w:p w:rsidR="004A2B92" w:rsidRPr="00C15830" w:rsidRDefault="004A2B92" w:rsidP="00BA2412">
            <w:pPr>
              <w:rPr>
                <w:sz w:val="24"/>
                <w:szCs w:val="24"/>
              </w:rPr>
            </w:pP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677F10"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591D3B"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591D3B"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77F10">
              <w:rPr>
                <w:rFonts w:ascii="Arial" w:hAnsi="Arial" w:cs="Arial"/>
                <w:szCs w:val="24"/>
              </w:rPr>
              <w:t>The results of PLO1</w:t>
            </w:r>
            <w:r w:rsidR="00677F10" w:rsidRPr="008D7F05">
              <w:rPr>
                <w:rFonts w:ascii="Arial" w:hAnsi="Arial" w:cs="Arial"/>
                <w:szCs w:val="24"/>
              </w:rPr>
              <w:t xml:space="preserve"> showed that the majority of the students had met course competencies.  No </w:t>
            </w:r>
            <w:r w:rsidR="00677F10">
              <w:rPr>
                <w:rFonts w:ascii="Arial" w:hAnsi="Arial" w:cs="Arial"/>
                <w:szCs w:val="24"/>
              </w:rPr>
              <w:t xml:space="preserve">need for </w:t>
            </w:r>
            <w:r w:rsidR="00677F10" w:rsidRPr="008D7F05">
              <w:rPr>
                <w:rFonts w:ascii="Arial" w:hAnsi="Arial" w:cs="Arial"/>
                <w:szCs w:val="24"/>
              </w:rPr>
              <w:t xml:space="preserve">changes </w:t>
            </w:r>
            <w:r w:rsidR="00677F10">
              <w:rPr>
                <w:rFonts w:ascii="Arial" w:hAnsi="Arial" w:cs="Arial"/>
                <w:szCs w:val="24"/>
              </w:rPr>
              <w:t>at this time.</w:t>
            </w: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4206CD" w:rsidRDefault="004A2B92" w:rsidP="004A2B92">
            <w:pPr>
              <w:rPr>
                <w:sz w:val="24"/>
                <w:szCs w:val="24"/>
              </w:rPr>
            </w:pPr>
            <w:r w:rsidRPr="00C15830">
              <w:rPr>
                <w:b/>
                <w:sz w:val="24"/>
                <w:szCs w:val="24"/>
              </w:rPr>
              <w:t xml:space="preserve">Identify Program Outcome: </w:t>
            </w:r>
            <w:r w:rsidR="00677F10" w:rsidRPr="004B6E78">
              <w:rPr>
                <w:rFonts w:ascii="Times New Roman" w:hAnsi="Times New Roman"/>
                <w:sz w:val="28"/>
                <w:szCs w:val="28"/>
              </w:rPr>
              <w:t>Students will learn mathematics through modeling real-world situations.</w:t>
            </w:r>
          </w:p>
        </w:tc>
        <w:tc>
          <w:tcPr>
            <w:tcW w:w="2070" w:type="dxa"/>
            <w:vMerge w:val="restart"/>
            <w:tcBorders>
              <w:top w:val="single" w:sz="4" w:space="0" w:color="auto"/>
              <w:left w:val="single" w:sz="4" w:space="0" w:color="auto"/>
              <w:right w:val="single" w:sz="4" w:space="0" w:color="auto"/>
            </w:tcBorders>
          </w:tcPr>
          <w:p w:rsidR="003B17D4" w:rsidRPr="003B17D4" w:rsidRDefault="00677F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677F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677F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677F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677F10"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677F10" w:rsidRPr="00E72847" w:rsidRDefault="004A2B92" w:rsidP="00677F10">
            <w:pPr>
              <w:pStyle w:val="ListParagraph"/>
              <w:ind w:left="-107"/>
              <w:rPr>
                <w:rFonts w:ascii="Arial" w:hAnsi="Arial" w:cs="Arial"/>
                <w:sz w:val="24"/>
                <w:szCs w:val="24"/>
              </w:rPr>
            </w:pPr>
            <w:r w:rsidRPr="00C15830">
              <w:rPr>
                <w:b/>
                <w:sz w:val="24"/>
                <w:szCs w:val="24"/>
              </w:rPr>
              <w:t>Measurable Outcome Summary:</w:t>
            </w:r>
            <w:r w:rsidRPr="00C15830">
              <w:rPr>
                <w:sz w:val="24"/>
                <w:szCs w:val="24"/>
              </w:rPr>
              <w:t xml:space="preserve"> </w:t>
            </w:r>
            <w:r w:rsidR="00677F10">
              <w:rPr>
                <w:rFonts w:ascii="Arial" w:hAnsi="Arial" w:cs="Arial"/>
                <w:sz w:val="24"/>
                <w:szCs w:val="24"/>
              </w:rPr>
              <w:t>This PLO was assessed by having Statistics (MATH 119) students use technology to analyze data using binomial distribution.</w:t>
            </w:r>
          </w:p>
          <w:p w:rsidR="004A2B92" w:rsidRPr="00C15830" w:rsidRDefault="00677F10" w:rsidP="00677F10">
            <w:pPr>
              <w:rPr>
                <w:sz w:val="24"/>
                <w:szCs w:val="24"/>
              </w:rPr>
            </w:pPr>
            <w:r w:rsidRPr="00687BE7">
              <w:rPr>
                <w:rFonts w:ascii="Arial" w:hAnsi="Arial" w:cs="Arial"/>
                <w:sz w:val="24"/>
                <w:szCs w:val="24"/>
              </w:rPr>
              <w:t>The results of the project are as follows out of 58 students:33% received grade of A, 24% received grade of B, 22% received grade of C, and 21% received no passing grade.</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677F10"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591D3B"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591D3B"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77F10">
              <w:rPr>
                <w:rFonts w:ascii="Arial" w:hAnsi="Arial" w:cs="Arial"/>
                <w:szCs w:val="24"/>
              </w:rPr>
              <w:t>The results of PLO 2</w:t>
            </w:r>
            <w:r w:rsidR="00677F10" w:rsidRPr="008D7F05">
              <w:rPr>
                <w:rFonts w:ascii="Arial" w:hAnsi="Arial" w:cs="Arial"/>
                <w:szCs w:val="24"/>
              </w:rPr>
              <w:t xml:space="preserve"> showed that the majority of the students had met course competencies.  No </w:t>
            </w:r>
            <w:r w:rsidR="00677F10">
              <w:rPr>
                <w:rFonts w:ascii="Arial" w:hAnsi="Arial" w:cs="Arial"/>
                <w:szCs w:val="24"/>
              </w:rPr>
              <w:t xml:space="preserve">need for </w:t>
            </w:r>
            <w:r w:rsidR="00677F10" w:rsidRPr="008D7F05">
              <w:rPr>
                <w:rFonts w:ascii="Arial" w:hAnsi="Arial" w:cs="Arial"/>
                <w:szCs w:val="24"/>
              </w:rPr>
              <w:t xml:space="preserve">changes </w:t>
            </w:r>
            <w:r w:rsidR="00677F10">
              <w:rPr>
                <w:rFonts w:ascii="Arial" w:hAnsi="Arial" w:cs="Arial"/>
                <w:szCs w:val="24"/>
              </w:rPr>
              <w:t>at this time</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4206CD" w:rsidRDefault="004A2B92" w:rsidP="004A2B92">
            <w:pPr>
              <w:rPr>
                <w:sz w:val="24"/>
                <w:szCs w:val="24"/>
              </w:rPr>
            </w:pPr>
            <w:r w:rsidRPr="00C15830">
              <w:rPr>
                <w:b/>
                <w:sz w:val="24"/>
                <w:szCs w:val="24"/>
              </w:rPr>
              <w:t xml:space="preserve">Identify Program Outcome: </w:t>
            </w:r>
            <w:r w:rsidR="00677F10" w:rsidRPr="004B6E78">
              <w:rPr>
                <w:rFonts w:ascii="Times New Roman" w:hAnsi="Times New Roman"/>
                <w:sz w:val="28"/>
                <w:szCs w:val="28"/>
              </w:rPr>
              <w:t>Students will use appropriate technology to enhance their mathematical thinking and understanding, solve mathematical problems, and judge the reasonableness of their results.</w:t>
            </w:r>
          </w:p>
        </w:tc>
        <w:tc>
          <w:tcPr>
            <w:tcW w:w="2070" w:type="dxa"/>
            <w:vMerge w:val="restart"/>
            <w:tcBorders>
              <w:top w:val="single" w:sz="4" w:space="0" w:color="auto"/>
              <w:left w:val="single" w:sz="4" w:space="0" w:color="auto"/>
              <w:right w:val="single" w:sz="4" w:space="0" w:color="auto"/>
            </w:tcBorders>
          </w:tcPr>
          <w:p w:rsidR="003B17D4" w:rsidRPr="003B17D4" w:rsidRDefault="00677F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677F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677F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677F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677F10"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677F10">
              <w:rPr>
                <w:rFonts w:ascii="Arial" w:hAnsi="Arial" w:cs="Arial"/>
                <w:sz w:val="24"/>
                <w:szCs w:val="24"/>
              </w:rPr>
              <w:t xml:space="preserve">One Calculus I (MATH 192) classes participated in a project involving using MATLAB( mathematical software) and Newton’s Method in order to find root of a given polynomial. </w:t>
            </w:r>
            <w:r w:rsidR="00677F10">
              <w:rPr>
                <w:rFonts w:ascii="Arial" w:hAnsi="Arial" w:cs="Arial"/>
                <w:szCs w:val="24"/>
              </w:rPr>
              <w:t>14</w:t>
            </w:r>
            <w:r w:rsidR="00677F10" w:rsidRPr="008D7F05">
              <w:rPr>
                <w:rFonts w:ascii="Arial" w:hAnsi="Arial" w:cs="Arial"/>
                <w:szCs w:val="24"/>
              </w:rPr>
              <w:t xml:space="preserve"> students were assessed</w:t>
            </w:r>
            <w:r w:rsidR="00677F10">
              <w:rPr>
                <w:rFonts w:ascii="Arial" w:hAnsi="Arial" w:cs="Arial"/>
                <w:szCs w:val="24"/>
              </w:rPr>
              <w:t>, 58</w:t>
            </w:r>
            <w:r w:rsidR="00677F10" w:rsidRPr="008D7F05">
              <w:rPr>
                <w:rFonts w:ascii="Arial" w:hAnsi="Arial" w:cs="Arial"/>
                <w:szCs w:val="24"/>
              </w:rPr>
              <w:t>% showed complete understa</w:t>
            </w:r>
            <w:r w:rsidR="00677F10">
              <w:rPr>
                <w:rFonts w:ascii="Arial" w:hAnsi="Arial" w:cs="Arial"/>
                <w:szCs w:val="24"/>
              </w:rPr>
              <w:t>nding of the concept, another 21</w:t>
            </w:r>
            <w:r w:rsidR="00677F10" w:rsidRPr="008D7F05">
              <w:rPr>
                <w:rFonts w:ascii="Arial" w:hAnsi="Arial" w:cs="Arial"/>
                <w:szCs w:val="24"/>
              </w:rPr>
              <w:t>% show</w:t>
            </w:r>
            <w:r w:rsidR="00677F10">
              <w:rPr>
                <w:rFonts w:ascii="Arial" w:hAnsi="Arial" w:cs="Arial"/>
                <w:szCs w:val="24"/>
              </w:rPr>
              <w:t>ed partial understanding and 31</w:t>
            </w:r>
            <w:r w:rsidR="00677F10" w:rsidRPr="008D7F05">
              <w:rPr>
                <w:rFonts w:ascii="Arial" w:hAnsi="Arial" w:cs="Arial"/>
                <w:szCs w:val="24"/>
              </w:rPr>
              <w:t>% showed little or no understanding</w:t>
            </w:r>
            <w:r w:rsidR="00677F10">
              <w:rPr>
                <w:rFonts w:ascii="Arial" w:hAnsi="Arial" w:cs="Arial"/>
                <w:szCs w:val="24"/>
              </w:rPr>
              <w:t>.</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677F10"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591D3B"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591D3B"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77F10">
              <w:rPr>
                <w:rFonts w:ascii="Arial" w:hAnsi="Arial" w:cs="Arial"/>
                <w:szCs w:val="24"/>
              </w:rPr>
              <w:t>The results of PLO3</w:t>
            </w:r>
            <w:r w:rsidR="00677F10" w:rsidRPr="008D7F05">
              <w:rPr>
                <w:rFonts w:ascii="Arial" w:hAnsi="Arial" w:cs="Arial"/>
                <w:szCs w:val="24"/>
              </w:rPr>
              <w:t xml:space="preserve"> showed that the majority of the students had met course competencies.  No changes were discussed.</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tbl>
            <w:tblPr>
              <w:tblW w:w="12742" w:type="dxa"/>
              <w:tblLayout w:type="fixed"/>
              <w:tblLook w:val="04A0" w:firstRow="1" w:lastRow="0" w:firstColumn="1" w:lastColumn="0" w:noHBand="0" w:noVBand="1"/>
            </w:tblPr>
            <w:tblGrid>
              <w:gridCol w:w="1020"/>
              <w:gridCol w:w="920"/>
              <w:gridCol w:w="1680"/>
              <w:gridCol w:w="1880"/>
              <w:gridCol w:w="1047"/>
              <w:gridCol w:w="1367"/>
              <w:gridCol w:w="1047"/>
              <w:gridCol w:w="1367"/>
              <w:gridCol w:w="1047"/>
              <w:gridCol w:w="1367"/>
            </w:tblGrid>
            <w:tr w:rsidR="00B71120" w:rsidRPr="00B71120" w:rsidTr="00B71120">
              <w:trPr>
                <w:trHeight w:val="300"/>
              </w:trPr>
              <w:tc>
                <w:tcPr>
                  <w:tcW w:w="1020" w:type="dxa"/>
                  <w:tcBorders>
                    <w:top w:val="nil"/>
                    <w:left w:val="nil"/>
                    <w:bottom w:val="nil"/>
                    <w:right w:val="nil"/>
                  </w:tcBorders>
                  <w:shd w:val="clear" w:color="auto" w:fill="auto"/>
                  <w:noWrap/>
                  <w:vAlign w:val="bottom"/>
                  <w:hideMark/>
                </w:tcPr>
                <w:p w:rsidR="00B71120" w:rsidRPr="00B71120" w:rsidRDefault="00B71120" w:rsidP="00B71120">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rsidR="00B71120" w:rsidRPr="00B71120" w:rsidRDefault="00B71120" w:rsidP="00B71120">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rsidR="00B71120" w:rsidRPr="00B71120" w:rsidRDefault="00B71120" w:rsidP="00B71120">
                  <w:pPr>
                    <w:spacing w:after="0" w:line="240" w:lineRule="auto"/>
                    <w:rPr>
                      <w:rFonts w:ascii="Calibri" w:eastAsia="Times New Roman" w:hAnsi="Calibri" w:cs="Calibri"/>
                      <w:color w:val="000000"/>
                    </w:rPr>
                  </w:pPr>
                </w:p>
              </w:tc>
              <w:tc>
                <w:tcPr>
                  <w:tcW w:w="1880" w:type="dxa"/>
                  <w:tcBorders>
                    <w:top w:val="nil"/>
                    <w:left w:val="nil"/>
                    <w:bottom w:val="nil"/>
                    <w:right w:val="nil"/>
                  </w:tcBorders>
                  <w:shd w:val="clear" w:color="auto" w:fill="auto"/>
                  <w:noWrap/>
                  <w:vAlign w:val="bottom"/>
                  <w:hideMark/>
                </w:tcPr>
                <w:p w:rsidR="00B71120" w:rsidRPr="00B71120" w:rsidRDefault="00B71120" w:rsidP="00B71120">
                  <w:pPr>
                    <w:spacing w:after="0" w:line="240" w:lineRule="auto"/>
                    <w:rPr>
                      <w:rFonts w:ascii="Calibri" w:eastAsia="Times New Roman" w:hAnsi="Calibri" w:cs="Calibri"/>
                      <w:color w:val="000000"/>
                    </w:rPr>
                  </w:pPr>
                </w:p>
              </w:tc>
              <w:tc>
                <w:tcPr>
                  <w:tcW w:w="7242" w:type="dxa"/>
                  <w:gridSpan w:val="6"/>
                  <w:tcBorders>
                    <w:top w:val="nil"/>
                    <w:left w:val="nil"/>
                    <w:bottom w:val="nil"/>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p>
              </w:tc>
            </w:tr>
            <w:tr w:rsidR="00B71120" w:rsidRPr="00B71120" w:rsidTr="00B71120">
              <w:trPr>
                <w:trHeight w:val="315"/>
              </w:trPr>
              <w:tc>
                <w:tcPr>
                  <w:tcW w:w="1020" w:type="dxa"/>
                  <w:tcBorders>
                    <w:top w:val="nil"/>
                    <w:left w:val="single" w:sz="4" w:space="0" w:color="auto"/>
                    <w:bottom w:val="single" w:sz="12"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Course</w:t>
                  </w:r>
                </w:p>
              </w:tc>
              <w:tc>
                <w:tcPr>
                  <w:tcW w:w="920" w:type="dxa"/>
                  <w:tcBorders>
                    <w:top w:val="nil"/>
                    <w:left w:val="nil"/>
                    <w:bottom w:val="single" w:sz="12"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Credits</w:t>
                  </w:r>
                </w:p>
              </w:tc>
              <w:tc>
                <w:tcPr>
                  <w:tcW w:w="1680" w:type="dxa"/>
                  <w:tcBorders>
                    <w:top w:val="nil"/>
                    <w:left w:val="nil"/>
                    <w:bottom w:val="single" w:sz="12"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SLOs Identified</w:t>
                  </w:r>
                </w:p>
              </w:tc>
              <w:tc>
                <w:tcPr>
                  <w:tcW w:w="1880" w:type="dxa"/>
                  <w:tcBorders>
                    <w:top w:val="nil"/>
                    <w:left w:val="nil"/>
                    <w:bottom w:val="single" w:sz="12"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SLOs in CurricUNET</w:t>
                  </w:r>
                </w:p>
              </w:tc>
              <w:tc>
                <w:tcPr>
                  <w:tcW w:w="1047" w:type="dxa"/>
                  <w:tcBorders>
                    <w:top w:val="nil"/>
                    <w:left w:val="single" w:sz="4" w:space="0" w:color="auto"/>
                    <w:bottom w:val="single" w:sz="12"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Fall 2011</w:t>
                  </w:r>
                </w:p>
              </w:tc>
              <w:tc>
                <w:tcPr>
                  <w:tcW w:w="1367" w:type="dxa"/>
                  <w:tcBorders>
                    <w:top w:val="nil"/>
                    <w:left w:val="nil"/>
                    <w:bottom w:val="single" w:sz="12"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Spring 2012</w:t>
                  </w:r>
                </w:p>
              </w:tc>
              <w:tc>
                <w:tcPr>
                  <w:tcW w:w="1047" w:type="dxa"/>
                  <w:tcBorders>
                    <w:top w:val="nil"/>
                    <w:left w:val="nil"/>
                    <w:bottom w:val="single" w:sz="12"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Fall 2012</w:t>
                  </w:r>
                </w:p>
              </w:tc>
              <w:tc>
                <w:tcPr>
                  <w:tcW w:w="1367" w:type="dxa"/>
                  <w:tcBorders>
                    <w:top w:val="nil"/>
                    <w:left w:val="nil"/>
                    <w:bottom w:val="single" w:sz="12"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Spring 2013</w:t>
                  </w:r>
                </w:p>
              </w:tc>
              <w:tc>
                <w:tcPr>
                  <w:tcW w:w="1047" w:type="dxa"/>
                  <w:tcBorders>
                    <w:top w:val="nil"/>
                    <w:left w:val="single" w:sz="12" w:space="0" w:color="auto"/>
                    <w:bottom w:val="single" w:sz="12"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Fall 2013</w:t>
                  </w:r>
                </w:p>
              </w:tc>
              <w:tc>
                <w:tcPr>
                  <w:tcW w:w="1367" w:type="dxa"/>
                  <w:tcBorders>
                    <w:top w:val="nil"/>
                    <w:left w:val="nil"/>
                    <w:bottom w:val="single" w:sz="12"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Spring 2014</w:t>
                  </w:r>
                </w:p>
              </w:tc>
            </w:tr>
            <w:tr w:rsidR="00B71120" w:rsidRPr="00B71120" w:rsidTr="00B71120">
              <w:trPr>
                <w:trHeight w:val="315"/>
              </w:trPr>
              <w:tc>
                <w:tcPr>
                  <w:tcW w:w="1020" w:type="dxa"/>
                  <w:tcBorders>
                    <w:top w:val="nil"/>
                    <w:left w:val="nil"/>
                    <w:bottom w:val="nil"/>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CS 170</w:t>
                  </w:r>
                </w:p>
              </w:tc>
              <w:tc>
                <w:tcPr>
                  <w:tcW w:w="920" w:type="dxa"/>
                  <w:tcBorders>
                    <w:top w:val="nil"/>
                    <w:left w:val="single" w:sz="4" w:space="0" w:color="auto"/>
                    <w:bottom w:val="nil"/>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nil"/>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single" w:sz="4" w:space="0" w:color="auto"/>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047" w:type="dxa"/>
                  <w:tcBorders>
                    <w:top w:val="single" w:sz="4" w:space="0" w:color="auto"/>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single" w:sz="4" w:space="0" w:color="auto"/>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2,3</w:t>
                  </w:r>
                </w:p>
              </w:tc>
              <w:tc>
                <w:tcPr>
                  <w:tcW w:w="1047" w:type="dxa"/>
                  <w:tcBorders>
                    <w:top w:val="single" w:sz="4" w:space="0" w:color="auto"/>
                    <w:left w:val="single" w:sz="12"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CS 220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3,4</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CS 230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2,3,4</w:t>
                  </w:r>
                </w:p>
              </w:tc>
              <w:tc>
                <w:tcPr>
                  <w:tcW w:w="1047" w:type="dxa"/>
                  <w:tcBorders>
                    <w:top w:val="nil"/>
                    <w:left w:val="single" w:sz="12"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CS 280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w:t>
                  </w:r>
                </w:p>
              </w:tc>
              <w:tc>
                <w:tcPr>
                  <w:tcW w:w="1367" w:type="dxa"/>
                  <w:tcBorders>
                    <w:top w:val="nil"/>
                    <w:left w:val="nil"/>
                    <w:bottom w:val="single" w:sz="4" w:space="0" w:color="auto"/>
                    <w:right w:val="nil"/>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3,4</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ENGR 210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ENGR 212</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ENGR 240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060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No</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061</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071</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 (70)</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081</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 (80)</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091</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110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112</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2,3</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114</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04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single" w:sz="4" w:space="0" w:color="auto"/>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119</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2,3</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122</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xml:space="preserve">MATH </w:t>
                  </w:r>
                  <w:r w:rsidRPr="00B71120">
                    <w:rPr>
                      <w:rFonts w:ascii="Calibri" w:eastAsia="Times New Roman" w:hAnsi="Calibri" w:cs="Calibri"/>
                      <w:color w:val="000000"/>
                    </w:rPr>
                    <w:lastRenderedPageBreak/>
                    <w:t>140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lastRenderedPageBreak/>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nil"/>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nil"/>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w:t>
                  </w:r>
                </w:p>
              </w:tc>
              <w:tc>
                <w:tcPr>
                  <w:tcW w:w="1047" w:type="dxa"/>
                  <w:tcBorders>
                    <w:top w:val="nil"/>
                    <w:left w:val="nil"/>
                    <w:bottom w:val="nil"/>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nil"/>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1,3</w:t>
                  </w:r>
                </w:p>
              </w:tc>
              <w:tc>
                <w:tcPr>
                  <w:tcW w:w="1047" w:type="dxa"/>
                  <w:tcBorders>
                    <w:top w:val="nil"/>
                    <w:left w:val="single" w:sz="12" w:space="0" w:color="auto"/>
                    <w:bottom w:val="nil"/>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nil"/>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lastRenderedPageBreak/>
                    <w:t>MATH 150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3,4</w:t>
                  </w:r>
                </w:p>
              </w:tc>
              <w:tc>
                <w:tcPr>
                  <w:tcW w:w="1367" w:type="dxa"/>
                  <w:tcBorders>
                    <w:top w:val="single" w:sz="4" w:space="0" w:color="auto"/>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single" w:sz="4" w:space="0" w:color="auto"/>
                    <w:left w:val="nil"/>
                    <w:bottom w:val="single" w:sz="4" w:space="0" w:color="auto"/>
                    <w:right w:val="nil"/>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367" w:type="dxa"/>
                  <w:tcBorders>
                    <w:top w:val="single" w:sz="4" w:space="0" w:color="auto"/>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170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2,3</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1,4</w:t>
                  </w:r>
                </w:p>
              </w:tc>
              <w:tc>
                <w:tcPr>
                  <w:tcW w:w="1047" w:type="dxa"/>
                  <w:tcBorders>
                    <w:top w:val="nil"/>
                    <w:left w:val="single" w:sz="12"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190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3,4</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192</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4,5</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194</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4,5</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210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5</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3,4,5</w:t>
                  </w:r>
                </w:p>
              </w:tc>
              <w:tc>
                <w:tcPr>
                  <w:tcW w:w="1047" w:type="dxa"/>
                  <w:tcBorders>
                    <w:top w:val="nil"/>
                    <w:left w:val="single" w:sz="12"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220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047" w:type="dxa"/>
                  <w:tcBorders>
                    <w:top w:val="nil"/>
                    <w:left w:val="single" w:sz="12"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230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367" w:type="dxa"/>
                  <w:tcBorders>
                    <w:top w:val="nil"/>
                    <w:left w:val="nil"/>
                    <w:bottom w:val="single" w:sz="4" w:space="0" w:color="auto"/>
                    <w:right w:val="nil"/>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240</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3</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1,2,3</w:t>
                  </w:r>
                </w:p>
              </w:tc>
              <w:tc>
                <w:tcPr>
                  <w:tcW w:w="1367" w:type="dxa"/>
                  <w:tcBorders>
                    <w:top w:val="nil"/>
                    <w:left w:val="nil"/>
                    <w:bottom w:val="single" w:sz="4" w:space="0" w:color="auto"/>
                    <w:right w:val="nil"/>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r w:rsidR="00B71120" w:rsidRPr="00B71120" w:rsidTr="00B71120">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MATH 241</w:t>
                  </w:r>
                </w:p>
              </w:tc>
              <w:tc>
                <w:tcPr>
                  <w:tcW w:w="92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880" w:type="dxa"/>
                  <w:tcBorders>
                    <w:top w:val="nil"/>
                    <w:left w:val="nil"/>
                    <w:bottom w:val="single" w:sz="4" w:space="0" w:color="auto"/>
                    <w:right w:val="nil"/>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Yes</w:t>
                  </w:r>
                </w:p>
              </w:tc>
              <w:tc>
                <w:tcPr>
                  <w:tcW w:w="1047" w:type="dxa"/>
                  <w:tcBorders>
                    <w:top w:val="nil"/>
                    <w:left w:val="single" w:sz="4" w:space="0" w:color="auto"/>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367" w:type="dxa"/>
                  <w:tcBorders>
                    <w:top w:val="nil"/>
                    <w:left w:val="nil"/>
                    <w:bottom w:val="single" w:sz="4" w:space="0" w:color="auto"/>
                    <w:right w:val="nil"/>
                  </w:tcBorders>
                  <w:shd w:val="clear" w:color="000000" w:fill="D8D8D8"/>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c>
                <w:tcPr>
                  <w:tcW w:w="1047" w:type="dxa"/>
                  <w:tcBorders>
                    <w:top w:val="nil"/>
                    <w:left w:val="single" w:sz="12" w:space="0" w:color="auto"/>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1</w:t>
                  </w:r>
                </w:p>
              </w:tc>
              <w:tc>
                <w:tcPr>
                  <w:tcW w:w="1367" w:type="dxa"/>
                  <w:tcBorders>
                    <w:top w:val="nil"/>
                    <w:left w:val="nil"/>
                    <w:bottom w:val="single" w:sz="4" w:space="0" w:color="auto"/>
                    <w:right w:val="single" w:sz="4" w:space="0" w:color="auto"/>
                  </w:tcBorders>
                  <w:shd w:val="clear" w:color="auto" w:fill="auto"/>
                  <w:noWrap/>
                  <w:vAlign w:val="bottom"/>
                  <w:hideMark/>
                </w:tcPr>
                <w:p w:rsidR="00B71120" w:rsidRPr="00B71120" w:rsidRDefault="00B71120" w:rsidP="00B71120">
                  <w:pPr>
                    <w:spacing w:after="0" w:line="240" w:lineRule="auto"/>
                    <w:jc w:val="center"/>
                    <w:rPr>
                      <w:rFonts w:ascii="Calibri" w:eastAsia="Times New Roman" w:hAnsi="Calibri" w:cs="Calibri"/>
                      <w:color w:val="000000"/>
                    </w:rPr>
                  </w:pPr>
                  <w:r w:rsidRPr="00B71120">
                    <w:rPr>
                      <w:rFonts w:ascii="Calibri" w:eastAsia="Times New Roman" w:hAnsi="Calibri" w:cs="Calibri"/>
                      <w:color w:val="000000"/>
                    </w:rPr>
                    <w:t> </w:t>
                  </w:r>
                </w:p>
              </w:tc>
            </w:tr>
          </w:tbl>
          <w:p w:rsidR="004519FF" w:rsidRPr="00B30971" w:rsidRDefault="004519FF" w:rsidP="00B30971">
            <w:pPr>
              <w:jc w:val="center"/>
              <w:rPr>
                <w:rFonts w:ascii="Arial Black" w:hAnsi="Arial Black"/>
                <w:b/>
                <w:color w:val="C00000"/>
                <w:sz w:val="40"/>
                <w:szCs w:val="40"/>
              </w:rPr>
            </w:pPr>
          </w:p>
        </w:tc>
      </w:tr>
    </w:tbl>
    <w:p w:rsidR="0013472B" w:rsidRDefault="0013472B" w:rsidP="005B59C1">
      <w:pPr>
        <w:spacing w:after="0" w:line="240" w:lineRule="auto"/>
        <w:rPr>
          <w:b/>
          <w:sz w:val="32"/>
          <w:szCs w:val="32"/>
        </w:rPr>
      </w:pPr>
    </w:p>
    <w:sectPr w:rsidR="0013472B" w:rsidSect="00AD4987">
      <w:footerReference w:type="default" r:id="rId18"/>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BF" w:rsidRDefault="008C11BF" w:rsidP="00C269D2">
      <w:pPr>
        <w:spacing w:after="0" w:line="240" w:lineRule="auto"/>
      </w:pPr>
      <w:r>
        <w:separator/>
      </w:r>
    </w:p>
  </w:endnote>
  <w:endnote w:type="continuationSeparator" w:id="0">
    <w:p w:rsidR="008C11BF" w:rsidRDefault="008C11BF"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BF" w:rsidRDefault="008C11BF">
    <w:pPr>
      <w:pStyle w:val="Footer"/>
      <w:rPr>
        <w:color w:val="000000" w:themeColor="text1"/>
        <w:sz w:val="24"/>
        <w:szCs w:val="24"/>
      </w:rPr>
    </w:pPr>
    <w:r>
      <w:rPr>
        <w:color w:val="000000" w:themeColor="text1"/>
        <w:sz w:val="24"/>
        <w:szCs w:val="24"/>
      </w:rPr>
      <w:t>Academic Program Review</w:t>
    </w:r>
  </w:p>
  <w:p w:rsidR="008C11BF" w:rsidRPr="002D5944" w:rsidRDefault="008C11BF">
    <w:pPr>
      <w:pStyle w:val="Footer"/>
      <w:rPr>
        <w:color w:val="000000" w:themeColor="text1"/>
        <w:sz w:val="18"/>
        <w:szCs w:val="24"/>
      </w:rPr>
    </w:pPr>
    <w:r>
      <w:rPr>
        <w:color w:val="000000" w:themeColor="text1"/>
        <w:sz w:val="18"/>
        <w:szCs w:val="24"/>
      </w:rPr>
      <w:t>01/09/14</w:t>
    </w:r>
  </w:p>
  <w:p w:rsidR="008C11BF" w:rsidRDefault="0041569F">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8C11BF" w:rsidRDefault="008C11B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569F">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8C11BF" w:rsidRDefault="008C11B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569F">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91440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10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BF" w:rsidRDefault="008C11BF" w:rsidP="00C269D2">
      <w:pPr>
        <w:spacing w:after="0" w:line="240" w:lineRule="auto"/>
      </w:pPr>
      <w:r>
        <w:separator/>
      </w:r>
    </w:p>
  </w:footnote>
  <w:footnote w:type="continuationSeparator" w:id="0">
    <w:p w:rsidR="008C11BF" w:rsidRDefault="008C11BF"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70E31"/>
    <w:multiLevelType w:val="hybridMultilevel"/>
    <w:tmpl w:val="B3984B1C"/>
    <w:lvl w:ilvl="0" w:tplc="CD0283A4">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4"/>
  </w:num>
  <w:num w:numId="5">
    <w:abstractNumId w:val="12"/>
  </w:num>
  <w:num w:numId="6">
    <w:abstractNumId w:val="10"/>
  </w:num>
  <w:num w:numId="7">
    <w:abstractNumId w:val="3"/>
  </w:num>
  <w:num w:numId="8">
    <w:abstractNumId w:val="11"/>
  </w:num>
  <w:num w:numId="9">
    <w:abstractNumId w:val="8"/>
  </w:num>
  <w:num w:numId="10">
    <w:abstractNumId w:val="0"/>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3891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1F"/>
    <w:rsid w:val="00011C9E"/>
    <w:rsid w:val="000201D9"/>
    <w:rsid w:val="00027923"/>
    <w:rsid w:val="00033067"/>
    <w:rsid w:val="000403F6"/>
    <w:rsid w:val="00043E27"/>
    <w:rsid w:val="00046042"/>
    <w:rsid w:val="0005417A"/>
    <w:rsid w:val="00081A8E"/>
    <w:rsid w:val="00085642"/>
    <w:rsid w:val="000A2181"/>
    <w:rsid w:val="000A56FF"/>
    <w:rsid w:val="000C3BC9"/>
    <w:rsid w:val="000D01C8"/>
    <w:rsid w:val="00110022"/>
    <w:rsid w:val="0013472B"/>
    <w:rsid w:val="00161A08"/>
    <w:rsid w:val="001824BF"/>
    <w:rsid w:val="001B0E63"/>
    <w:rsid w:val="001B3E09"/>
    <w:rsid w:val="001C0FA5"/>
    <w:rsid w:val="001C31AE"/>
    <w:rsid w:val="001C394F"/>
    <w:rsid w:val="001C4679"/>
    <w:rsid w:val="00211B80"/>
    <w:rsid w:val="00223F78"/>
    <w:rsid w:val="0023193A"/>
    <w:rsid w:val="002415E8"/>
    <w:rsid w:val="002423D1"/>
    <w:rsid w:val="002521F9"/>
    <w:rsid w:val="00257C76"/>
    <w:rsid w:val="00264E88"/>
    <w:rsid w:val="00266594"/>
    <w:rsid w:val="00271A0B"/>
    <w:rsid w:val="00272D22"/>
    <w:rsid w:val="0028431E"/>
    <w:rsid w:val="002D5944"/>
    <w:rsid w:val="002F5CCA"/>
    <w:rsid w:val="003204B1"/>
    <w:rsid w:val="003648E7"/>
    <w:rsid w:val="00391312"/>
    <w:rsid w:val="0039232D"/>
    <w:rsid w:val="003A0610"/>
    <w:rsid w:val="003B17D4"/>
    <w:rsid w:val="003F7DA7"/>
    <w:rsid w:val="004111B8"/>
    <w:rsid w:val="0041569F"/>
    <w:rsid w:val="004206CD"/>
    <w:rsid w:val="004519FF"/>
    <w:rsid w:val="00455861"/>
    <w:rsid w:val="004578EE"/>
    <w:rsid w:val="004A2B92"/>
    <w:rsid w:val="004B7383"/>
    <w:rsid w:val="004C4E7F"/>
    <w:rsid w:val="004D4D45"/>
    <w:rsid w:val="004E471F"/>
    <w:rsid w:val="004F1EA0"/>
    <w:rsid w:val="00503132"/>
    <w:rsid w:val="00541352"/>
    <w:rsid w:val="00555678"/>
    <w:rsid w:val="00556AD5"/>
    <w:rsid w:val="005707F9"/>
    <w:rsid w:val="0057128D"/>
    <w:rsid w:val="00591D3B"/>
    <w:rsid w:val="00594CC6"/>
    <w:rsid w:val="00597F48"/>
    <w:rsid w:val="005A015C"/>
    <w:rsid w:val="005A6C4B"/>
    <w:rsid w:val="005B59C1"/>
    <w:rsid w:val="005B72F8"/>
    <w:rsid w:val="005C3A5A"/>
    <w:rsid w:val="005E6467"/>
    <w:rsid w:val="005F09EA"/>
    <w:rsid w:val="00603C62"/>
    <w:rsid w:val="00621634"/>
    <w:rsid w:val="00641F0C"/>
    <w:rsid w:val="00643F68"/>
    <w:rsid w:val="006454E3"/>
    <w:rsid w:val="00663719"/>
    <w:rsid w:val="00670782"/>
    <w:rsid w:val="00677F10"/>
    <w:rsid w:val="006854CC"/>
    <w:rsid w:val="00691A49"/>
    <w:rsid w:val="006B712B"/>
    <w:rsid w:val="006C664D"/>
    <w:rsid w:val="006C7590"/>
    <w:rsid w:val="006D1FC2"/>
    <w:rsid w:val="006D2FCF"/>
    <w:rsid w:val="006D4F29"/>
    <w:rsid w:val="00700A8A"/>
    <w:rsid w:val="0071593B"/>
    <w:rsid w:val="007250CF"/>
    <w:rsid w:val="00725D31"/>
    <w:rsid w:val="00731AB4"/>
    <w:rsid w:val="00733C7B"/>
    <w:rsid w:val="007440FF"/>
    <w:rsid w:val="00783386"/>
    <w:rsid w:val="0079256B"/>
    <w:rsid w:val="007B6E52"/>
    <w:rsid w:val="007C26A8"/>
    <w:rsid w:val="007D1955"/>
    <w:rsid w:val="007E4294"/>
    <w:rsid w:val="007F00B5"/>
    <w:rsid w:val="007F1BF9"/>
    <w:rsid w:val="00827180"/>
    <w:rsid w:val="00845E03"/>
    <w:rsid w:val="00845F64"/>
    <w:rsid w:val="0085021D"/>
    <w:rsid w:val="00863B79"/>
    <w:rsid w:val="00875F92"/>
    <w:rsid w:val="00885966"/>
    <w:rsid w:val="008A48AC"/>
    <w:rsid w:val="008C11BF"/>
    <w:rsid w:val="008E342A"/>
    <w:rsid w:val="008E6322"/>
    <w:rsid w:val="008F1519"/>
    <w:rsid w:val="008F6DD3"/>
    <w:rsid w:val="0094250C"/>
    <w:rsid w:val="00944407"/>
    <w:rsid w:val="00946D62"/>
    <w:rsid w:val="0097680B"/>
    <w:rsid w:val="00987B31"/>
    <w:rsid w:val="009968E8"/>
    <w:rsid w:val="009A1ADE"/>
    <w:rsid w:val="009D3A48"/>
    <w:rsid w:val="009F08F0"/>
    <w:rsid w:val="00A05706"/>
    <w:rsid w:val="00A2467D"/>
    <w:rsid w:val="00A257C2"/>
    <w:rsid w:val="00A6076F"/>
    <w:rsid w:val="00A95A5F"/>
    <w:rsid w:val="00AD4987"/>
    <w:rsid w:val="00AE0185"/>
    <w:rsid w:val="00AE599F"/>
    <w:rsid w:val="00AE5C40"/>
    <w:rsid w:val="00B05E52"/>
    <w:rsid w:val="00B114A7"/>
    <w:rsid w:val="00B221A1"/>
    <w:rsid w:val="00B25FA2"/>
    <w:rsid w:val="00B30971"/>
    <w:rsid w:val="00B71120"/>
    <w:rsid w:val="00B7127A"/>
    <w:rsid w:val="00B7252F"/>
    <w:rsid w:val="00B91965"/>
    <w:rsid w:val="00BA22FE"/>
    <w:rsid w:val="00BA2412"/>
    <w:rsid w:val="00BA2EC9"/>
    <w:rsid w:val="00BD2BA5"/>
    <w:rsid w:val="00BD5E72"/>
    <w:rsid w:val="00BE074F"/>
    <w:rsid w:val="00BF037A"/>
    <w:rsid w:val="00C059EE"/>
    <w:rsid w:val="00C0717C"/>
    <w:rsid w:val="00C15830"/>
    <w:rsid w:val="00C22ABB"/>
    <w:rsid w:val="00C269D2"/>
    <w:rsid w:val="00C32B0F"/>
    <w:rsid w:val="00C521EC"/>
    <w:rsid w:val="00C61A1E"/>
    <w:rsid w:val="00C819BE"/>
    <w:rsid w:val="00C9513F"/>
    <w:rsid w:val="00CC08E6"/>
    <w:rsid w:val="00CC5AEE"/>
    <w:rsid w:val="00CD76AB"/>
    <w:rsid w:val="00CE78BF"/>
    <w:rsid w:val="00CF1504"/>
    <w:rsid w:val="00D001FF"/>
    <w:rsid w:val="00D13C67"/>
    <w:rsid w:val="00D140DE"/>
    <w:rsid w:val="00D227CF"/>
    <w:rsid w:val="00D34BD6"/>
    <w:rsid w:val="00D43286"/>
    <w:rsid w:val="00D46DD5"/>
    <w:rsid w:val="00D5058D"/>
    <w:rsid w:val="00D6026F"/>
    <w:rsid w:val="00D67F65"/>
    <w:rsid w:val="00D7054E"/>
    <w:rsid w:val="00D84502"/>
    <w:rsid w:val="00D847BE"/>
    <w:rsid w:val="00D9584C"/>
    <w:rsid w:val="00D976AD"/>
    <w:rsid w:val="00DC5FCA"/>
    <w:rsid w:val="00DD6F85"/>
    <w:rsid w:val="00E044B7"/>
    <w:rsid w:val="00E26475"/>
    <w:rsid w:val="00E364FB"/>
    <w:rsid w:val="00E63051"/>
    <w:rsid w:val="00E87BA0"/>
    <w:rsid w:val="00EB052F"/>
    <w:rsid w:val="00EC3C15"/>
    <w:rsid w:val="00ED52AB"/>
    <w:rsid w:val="00EF1EC8"/>
    <w:rsid w:val="00EF4BD8"/>
    <w:rsid w:val="00F072A5"/>
    <w:rsid w:val="00F174C8"/>
    <w:rsid w:val="00F31293"/>
    <w:rsid w:val="00F32C74"/>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7357">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995036768">
      <w:bodyDiv w:val="1"/>
      <w:marLeft w:val="0"/>
      <w:marRight w:val="0"/>
      <w:marTop w:val="0"/>
      <w:marBottom w:val="0"/>
      <w:divBdr>
        <w:top w:val="none" w:sz="0" w:space="0" w:color="auto"/>
        <w:left w:val="none" w:sz="0" w:space="0" w:color="auto"/>
        <w:bottom w:val="none" w:sz="0" w:space="0" w:color="auto"/>
        <w:right w:val="none" w:sz="0" w:space="0" w:color="auto"/>
      </w:divBdr>
    </w:div>
    <w:div w:id="1024020941">
      <w:bodyDiv w:val="1"/>
      <w:marLeft w:val="0"/>
      <w:marRight w:val="0"/>
      <w:marTop w:val="0"/>
      <w:marBottom w:val="0"/>
      <w:divBdr>
        <w:top w:val="none" w:sz="0" w:space="0" w:color="auto"/>
        <w:left w:val="none" w:sz="0" w:space="0" w:color="auto"/>
        <w:bottom w:val="none" w:sz="0" w:space="0" w:color="auto"/>
        <w:right w:val="none" w:sz="0" w:space="0" w:color="auto"/>
      </w:divBdr>
    </w:div>
    <w:div w:id="11902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20Castrapel\Desktop\Program%20Review\Academic%20Program%20Review%20Template%20-%20Revised%20by%20CIO%20and%20Deans%2001-09-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k%20Castrapel\AppData\Local\Temp\Mathematics%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k%20Castrapel\AppData\Local\Temp\Mathematics%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ck%20Castrapel\AppData\Local\Temp\Mathematics%202013-14%20Program%20Revi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ck%20Castrapel\AppData\Local\Temp\Mathematics%202013-14%20Program%20Review%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ick%20Castrapel\AppData\Local\Temp\2014%20Program%20Review_%20Success%20&amp;%20Retention%20by%20Day%20Evening%20&amp;%20O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ick%20Castrapel\AppData\Local\Temp\2014%20Program%20Review_%20Success%20&amp;%20Retention%20by%20Day%20Evening%20&amp;%20O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ick%20Castrapel\AppData\Local\Temp\Mathematics%202013-14%20Program%20Review%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ick%20Castrapel\AppData\Local\Temp\Mathematics%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Math Total Enrollment</a:t>
            </a:r>
          </a:p>
        </c:rich>
      </c:tx>
      <c:layout/>
      <c:overlay val="0"/>
    </c:title>
    <c:autoTitleDeleted val="0"/>
    <c:plotArea>
      <c:layout>
        <c:manualLayout>
          <c:layoutTarget val="inner"/>
          <c:xMode val="edge"/>
          <c:yMode val="edge"/>
          <c:x val="0.13657510140777857"/>
          <c:y val="0.16236199220036768"/>
          <c:w val="0.82175823192555475"/>
          <c:h val="0.52467255358262399"/>
        </c:manualLayout>
      </c:layout>
      <c:areaChart>
        <c:grouping val="standard"/>
        <c:varyColors val="0"/>
        <c:ser>
          <c:idx val="0"/>
          <c:order val="0"/>
          <c:tx>
            <c:strRef>
              <c:f>'Program Level data'!$E$3</c:f>
              <c:strCache>
                <c:ptCount val="1"/>
                <c:pt idx="0">
                  <c:v>Enroll</c:v>
                </c:pt>
              </c:strCache>
            </c:strRef>
          </c:tx>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data'!$E$4:$E$9</c:f>
              <c:numCache>
                <c:formatCode>General</c:formatCode>
                <c:ptCount val="6"/>
                <c:pt idx="0">
                  <c:v>2551</c:v>
                </c:pt>
                <c:pt idx="1">
                  <c:v>2388</c:v>
                </c:pt>
                <c:pt idx="2">
                  <c:v>2346</c:v>
                </c:pt>
                <c:pt idx="3">
                  <c:v>2190</c:v>
                </c:pt>
                <c:pt idx="4">
                  <c:v>2229</c:v>
                </c:pt>
                <c:pt idx="5">
                  <c:v>2304</c:v>
                </c:pt>
              </c:numCache>
            </c:numRef>
          </c:val>
        </c:ser>
        <c:dLbls>
          <c:showLegendKey val="0"/>
          <c:showVal val="0"/>
          <c:showCatName val="0"/>
          <c:showSerName val="0"/>
          <c:showPercent val="0"/>
          <c:showBubbleSize val="0"/>
        </c:dLbls>
        <c:axId val="74261632"/>
        <c:axId val="74263168"/>
      </c:areaChart>
      <c:catAx>
        <c:axId val="74261632"/>
        <c:scaling>
          <c:orientation val="minMax"/>
        </c:scaling>
        <c:delete val="0"/>
        <c:axPos val="b"/>
        <c:majorTickMark val="out"/>
        <c:minorTickMark val="none"/>
        <c:tickLblPos val="nextTo"/>
        <c:txPr>
          <a:bodyPr rot="-5400000" vert="horz"/>
          <a:lstStyle/>
          <a:p>
            <a:pPr>
              <a:defRPr/>
            </a:pPr>
            <a:endParaRPr lang="en-US"/>
          </a:p>
        </c:txPr>
        <c:crossAx val="74263168"/>
        <c:crosses val="autoZero"/>
        <c:auto val="1"/>
        <c:lblAlgn val="ctr"/>
        <c:lblOffset val="100"/>
        <c:noMultiLvlLbl val="0"/>
      </c:catAx>
      <c:valAx>
        <c:axId val="74263168"/>
        <c:scaling>
          <c:orientation val="minMax"/>
        </c:scaling>
        <c:delete val="0"/>
        <c:axPos val="l"/>
        <c:majorGridlines/>
        <c:numFmt formatCode="General" sourceLinked="1"/>
        <c:majorTickMark val="out"/>
        <c:minorTickMark val="none"/>
        <c:tickLblPos val="nextTo"/>
        <c:crossAx val="74261632"/>
        <c:crosses val="autoZero"/>
        <c:crossBetween val="midCat"/>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16986321294222"/>
          <c:y val="0.13218570350770931"/>
          <c:w val="0.81568191885334229"/>
          <c:h val="0.56564506359781952"/>
        </c:manualLayout>
      </c:layout>
      <c:barChart>
        <c:barDir val="col"/>
        <c:grouping val="clustered"/>
        <c:varyColors val="0"/>
        <c:ser>
          <c:idx val="0"/>
          <c:order val="0"/>
          <c:tx>
            <c:strRef>
              <c:f>'Program Level data'!$B$3</c:f>
              <c:strCache>
                <c:ptCount val="1"/>
                <c:pt idx="0">
                  <c:v>Enroll</c:v>
                </c:pt>
              </c:strCache>
            </c:strRef>
          </c:tx>
          <c:invertIfNegative val="0"/>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data'!$B$4:$B$9</c:f>
              <c:numCache>
                <c:formatCode>General</c:formatCode>
                <c:ptCount val="6"/>
                <c:pt idx="0">
                  <c:v>2551</c:v>
                </c:pt>
                <c:pt idx="1">
                  <c:v>2388</c:v>
                </c:pt>
                <c:pt idx="2">
                  <c:v>2346</c:v>
                </c:pt>
                <c:pt idx="3">
                  <c:v>2190</c:v>
                </c:pt>
                <c:pt idx="4">
                  <c:v>2229</c:v>
                </c:pt>
                <c:pt idx="5">
                  <c:v>2304</c:v>
                </c:pt>
              </c:numCache>
            </c:numRef>
          </c:val>
        </c:ser>
        <c:ser>
          <c:idx val="1"/>
          <c:order val="1"/>
          <c:tx>
            <c:strRef>
              <c:f>'Program Level data'!$D$3</c:f>
              <c:strCache>
                <c:ptCount val="1"/>
                <c:pt idx="0">
                  <c:v>Statewide Trend</c:v>
                </c:pt>
              </c:strCache>
            </c:strRef>
          </c:tx>
          <c:invertIfNegative val="0"/>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data'!$D$4:$D$9</c:f>
              <c:numCache>
                <c:formatCode>#,##0</c:formatCode>
                <c:ptCount val="6"/>
                <c:pt idx="0">
                  <c:v>2550.9704000000002</c:v>
                </c:pt>
                <c:pt idx="1">
                  <c:v>2555.7518999999998</c:v>
                </c:pt>
                <c:pt idx="2">
                  <c:v>2416.4182599999999</c:v>
                </c:pt>
                <c:pt idx="3">
                  <c:v>2389.1060399999997</c:v>
                </c:pt>
                <c:pt idx="4">
                  <c:v>2309.9915600000013</c:v>
                </c:pt>
                <c:pt idx="5">
                  <c:v>2303.8289</c:v>
                </c:pt>
              </c:numCache>
            </c:numRef>
          </c:val>
        </c:ser>
        <c:dLbls>
          <c:showLegendKey val="0"/>
          <c:showVal val="0"/>
          <c:showCatName val="0"/>
          <c:showSerName val="0"/>
          <c:showPercent val="0"/>
          <c:showBubbleSize val="0"/>
        </c:dLbls>
        <c:gapWidth val="150"/>
        <c:axId val="23285120"/>
        <c:axId val="23295104"/>
      </c:barChart>
      <c:catAx>
        <c:axId val="23285120"/>
        <c:scaling>
          <c:orientation val="minMax"/>
        </c:scaling>
        <c:delete val="0"/>
        <c:axPos val="b"/>
        <c:majorTickMark val="out"/>
        <c:minorTickMark val="none"/>
        <c:tickLblPos val="nextTo"/>
        <c:txPr>
          <a:bodyPr rot="-5400000" vert="horz"/>
          <a:lstStyle/>
          <a:p>
            <a:pPr>
              <a:defRPr/>
            </a:pPr>
            <a:endParaRPr lang="en-US"/>
          </a:p>
        </c:txPr>
        <c:crossAx val="23295104"/>
        <c:crosses val="autoZero"/>
        <c:auto val="1"/>
        <c:lblAlgn val="ctr"/>
        <c:lblOffset val="100"/>
        <c:noMultiLvlLbl val="0"/>
      </c:catAx>
      <c:valAx>
        <c:axId val="23295104"/>
        <c:scaling>
          <c:orientation val="minMax"/>
        </c:scaling>
        <c:delete val="0"/>
        <c:axPos val="l"/>
        <c:majorGridlines/>
        <c:numFmt formatCode="General" sourceLinked="1"/>
        <c:majorTickMark val="out"/>
        <c:minorTickMark val="none"/>
        <c:tickLblPos val="nextTo"/>
        <c:crossAx val="23285120"/>
        <c:crosses val="autoZero"/>
        <c:crossBetween val="between"/>
      </c:valAx>
    </c:plotArea>
    <c:legend>
      <c:legendPos val="t"/>
      <c:layout>
        <c:manualLayout>
          <c:xMode val="edge"/>
          <c:yMode val="edge"/>
          <c:x val="0.1225699306478378"/>
          <c:y val="2.6990553306342781E-2"/>
          <c:w val="0.74478430750312385"/>
          <c:h val="0.14619656348624438"/>
        </c:manualLayout>
      </c:layout>
      <c:overlay val="0"/>
      <c:txPr>
        <a:bodyPr/>
        <a:lstStyle/>
        <a:p>
          <a:pPr>
            <a:defRPr sz="1400"/>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Math Program Fill</a:t>
            </a:r>
          </a:p>
        </c:rich>
      </c:tx>
      <c:layout/>
      <c:overlay val="0"/>
    </c:title>
    <c:autoTitleDeleted val="0"/>
    <c:plotArea>
      <c:layout/>
      <c:areaChart>
        <c:grouping val="standard"/>
        <c:varyColors val="0"/>
        <c:ser>
          <c:idx val="0"/>
          <c:order val="0"/>
          <c:tx>
            <c:strRef>
              <c:f>'Program Level data'!$F$3</c:f>
              <c:strCache>
                <c:ptCount val="1"/>
                <c:pt idx="0">
                  <c:v>Fill</c:v>
                </c:pt>
              </c:strCache>
            </c:strRef>
          </c:tx>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data'!$F$4:$F$9</c:f>
              <c:numCache>
                <c:formatCode>0%</c:formatCode>
                <c:ptCount val="6"/>
                <c:pt idx="0">
                  <c:v>1.07</c:v>
                </c:pt>
                <c:pt idx="1">
                  <c:v>1.06</c:v>
                </c:pt>
                <c:pt idx="2">
                  <c:v>1.06</c:v>
                </c:pt>
                <c:pt idx="3">
                  <c:v>0.9600000000000003</c:v>
                </c:pt>
                <c:pt idx="4">
                  <c:v>0.97000000000000031</c:v>
                </c:pt>
                <c:pt idx="5">
                  <c:v>0.98</c:v>
                </c:pt>
              </c:numCache>
            </c:numRef>
          </c:val>
        </c:ser>
        <c:dLbls>
          <c:showLegendKey val="0"/>
          <c:showVal val="0"/>
          <c:showCatName val="0"/>
          <c:showSerName val="0"/>
          <c:showPercent val="0"/>
          <c:showBubbleSize val="0"/>
        </c:dLbls>
        <c:axId val="23311104"/>
        <c:axId val="23312640"/>
      </c:areaChart>
      <c:catAx>
        <c:axId val="23311104"/>
        <c:scaling>
          <c:orientation val="minMax"/>
        </c:scaling>
        <c:delete val="0"/>
        <c:axPos val="b"/>
        <c:majorTickMark val="out"/>
        <c:minorTickMark val="none"/>
        <c:tickLblPos val="nextTo"/>
        <c:txPr>
          <a:bodyPr rot="-5400000" vert="horz"/>
          <a:lstStyle/>
          <a:p>
            <a:pPr>
              <a:defRPr/>
            </a:pPr>
            <a:endParaRPr lang="en-US"/>
          </a:p>
        </c:txPr>
        <c:crossAx val="23312640"/>
        <c:crosses val="autoZero"/>
        <c:auto val="1"/>
        <c:lblAlgn val="ctr"/>
        <c:lblOffset val="100"/>
        <c:noMultiLvlLbl val="0"/>
      </c:catAx>
      <c:valAx>
        <c:axId val="23312640"/>
        <c:scaling>
          <c:orientation val="minMax"/>
          <c:min val="0.95000000000000007"/>
        </c:scaling>
        <c:delete val="0"/>
        <c:axPos val="l"/>
        <c:majorGridlines/>
        <c:numFmt formatCode="0%" sourceLinked="1"/>
        <c:majorTickMark val="out"/>
        <c:minorTickMark val="none"/>
        <c:tickLblPos val="nextTo"/>
        <c:crossAx val="23311104"/>
        <c:crosses val="autoZero"/>
        <c:crossBetween val="midCat"/>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8.607174103237096E-2"/>
          <c:y val="0.16640419947506563"/>
          <c:w val="0.88337270341207352"/>
          <c:h val="0.49624116487513747"/>
        </c:manualLayout>
      </c:layout>
      <c:lineChart>
        <c:grouping val="standard"/>
        <c:varyColors val="0"/>
        <c:ser>
          <c:idx val="0"/>
          <c:order val="0"/>
          <c:tx>
            <c:strRef>
              <c:f>'Program Level data'!$M$3</c:f>
              <c:strCache>
                <c:ptCount val="1"/>
                <c:pt idx="0">
                  <c:v>WSCH/FTEF</c:v>
                </c:pt>
              </c:strCache>
            </c:strRef>
          </c:tx>
          <c:marker>
            <c:symbol val="none"/>
          </c:marker>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data'!$M$4:$M$9</c:f>
              <c:numCache>
                <c:formatCode>General</c:formatCode>
                <c:ptCount val="6"/>
                <c:pt idx="0">
                  <c:v>622.4599999999997</c:v>
                </c:pt>
                <c:pt idx="1">
                  <c:v>619.02</c:v>
                </c:pt>
                <c:pt idx="2">
                  <c:v>617.88</c:v>
                </c:pt>
                <c:pt idx="3">
                  <c:v>558.66999999999996</c:v>
                </c:pt>
                <c:pt idx="4">
                  <c:v>579.33999999999969</c:v>
                </c:pt>
                <c:pt idx="5">
                  <c:v>589.62</c:v>
                </c:pt>
              </c:numCache>
            </c:numRef>
          </c:val>
          <c:smooth val="0"/>
        </c:ser>
        <c:dLbls>
          <c:showLegendKey val="0"/>
          <c:showVal val="0"/>
          <c:showCatName val="0"/>
          <c:showSerName val="0"/>
          <c:showPercent val="0"/>
          <c:showBubbleSize val="0"/>
        </c:dLbls>
        <c:marker val="1"/>
        <c:smooth val="0"/>
        <c:axId val="23320832"/>
        <c:axId val="79167488"/>
      </c:lineChart>
      <c:catAx>
        <c:axId val="23320832"/>
        <c:scaling>
          <c:orientation val="minMax"/>
        </c:scaling>
        <c:delete val="0"/>
        <c:axPos val="b"/>
        <c:majorTickMark val="out"/>
        <c:minorTickMark val="none"/>
        <c:tickLblPos val="nextTo"/>
        <c:txPr>
          <a:bodyPr rot="-5400000" vert="horz"/>
          <a:lstStyle/>
          <a:p>
            <a:pPr>
              <a:defRPr/>
            </a:pPr>
            <a:endParaRPr lang="en-US"/>
          </a:p>
        </c:txPr>
        <c:crossAx val="79167488"/>
        <c:crosses val="autoZero"/>
        <c:auto val="1"/>
        <c:lblAlgn val="ctr"/>
        <c:lblOffset val="100"/>
        <c:noMultiLvlLbl val="0"/>
      </c:catAx>
      <c:valAx>
        <c:axId val="79167488"/>
        <c:scaling>
          <c:orientation val="minMax"/>
          <c:max val="625"/>
          <c:min val="525"/>
        </c:scaling>
        <c:delete val="0"/>
        <c:axPos val="l"/>
        <c:majorGridlines/>
        <c:numFmt formatCode="General" sourceLinked="1"/>
        <c:majorTickMark val="out"/>
        <c:minorTickMark val="none"/>
        <c:tickLblPos val="nextTo"/>
        <c:crossAx val="23320832"/>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Math Retention Rates</a:t>
            </a:r>
          </a:p>
        </c:rich>
      </c:tx>
      <c:layout/>
      <c:overlay val="0"/>
    </c:title>
    <c:autoTitleDeleted val="0"/>
    <c:plotArea>
      <c:layout/>
      <c:lineChart>
        <c:grouping val="standard"/>
        <c:varyColors val="0"/>
        <c:ser>
          <c:idx val="0"/>
          <c:order val="0"/>
          <c:tx>
            <c:strRef>
              <c:f>'Success &amp; Retention by Time'!$E$628</c:f>
              <c:strCache>
                <c:ptCount val="1"/>
                <c:pt idx="0">
                  <c:v>Day Retention Rate</c:v>
                </c:pt>
              </c:strCache>
            </c:strRef>
          </c:tx>
          <c:marker>
            <c:symbol val="none"/>
          </c:marker>
          <c:cat>
            <c:strRef>
              <c:f>'Success &amp; Retention by Time'!$A$629:$A$634</c:f>
              <c:strCache>
                <c:ptCount val="6"/>
                <c:pt idx="0">
                  <c:v>Fall 2010</c:v>
                </c:pt>
                <c:pt idx="1">
                  <c:v>Spring 2011</c:v>
                </c:pt>
                <c:pt idx="2">
                  <c:v>Fall 2011</c:v>
                </c:pt>
                <c:pt idx="3">
                  <c:v>Spring 2012</c:v>
                </c:pt>
                <c:pt idx="4">
                  <c:v>Fall 2012</c:v>
                </c:pt>
                <c:pt idx="5">
                  <c:v>Spring 2013</c:v>
                </c:pt>
              </c:strCache>
            </c:strRef>
          </c:cat>
          <c:val>
            <c:numRef>
              <c:f>'Success &amp; Retention by Time'!$E$629:$E$634</c:f>
              <c:numCache>
                <c:formatCode>0%</c:formatCode>
                <c:ptCount val="6"/>
                <c:pt idx="0">
                  <c:v>0.8400000000000003</c:v>
                </c:pt>
                <c:pt idx="1">
                  <c:v>0.83000000000000029</c:v>
                </c:pt>
                <c:pt idx="2">
                  <c:v>0.86000000000000032</c:v>
                </c:pt>
                <c:pt idx="3">
                  <c:v>0.8400000000000003</c:v>
                </c:pt>
                <c:pt idx="4">
                  <c:v>0.85000000000000031</c:v>
                </c:pt>
                <c:pt idx="5">
                  <c:v>0.8</c:v>
                </c:pt>
              </c:numCache>
            </c:numRef>
          </c:val>
          <c:smooth val="0"/>
        </c:ser>
        <c:ser>
          <c:idx val="1"/>
          <c:order val="1"/>
          <c:tx>
            <c:strRef>
              <c:f>'Success &amp; Retention by Time'!$H$628</c:f>
              <c:strCache>
                <c:ptCount val="1"/>
                <c:pt idx="0">
                  <c:v>Extended Day Retention Rate</c:v>
                </c:pt>
              </c:strCache>
            </c:strRef>
          </c:tx>
          <c:marker>
            <c:symbol val="none"/>
          </c:marker>
          <c:cat>
            <c:strRef>
              <c:f>'Success &amp; Retention by Time'!$A$629:$A$634</c:f>
              <c:strCache>
                <c:ptCount val="6"/>
                <c:pt idx="0">
                  <c:v>Fall 2010</c:v>
                </c:pt>
                <c:pt idx="1">
                  <c:v>Spring 2011</c:v>
                </c:pt>
                <c:pt idx="2">
                  <c:v>Fall 2011</c:v>
                </c:pt>
                <c:pt idx="3">
                  <c:v>Spring 2012</c:v>
                </c:pt>
                <c:pt idx="4">
                  <c:v>Fall 2012</c:v>
                </c:pt>
                <c:pt idx="5">
                  <c:v>Spring 2013</c:v>
                </c:pt>
              </c:strCache>
            </c:strRef>
          </c:cat>
          <c:val>
            <c:numRef>
              <c:f>'Success &amp; Retention by Time'!$H$629:$H$634</c:f>
              <c:numCache>
                <c:formatCode>0%</c:formatCode>
                <c:ptCount val="6"/>
                <c:pt idx="0">
                  <c:v>0.8400000000000003</c:v>
                </c:pt>
                <c:pt idx="1">
                  <c:v>0.79</c:v>
                </c:pt>
                <c:pt idx="2">
                  <c:v>0.82000000000000028</c:v>
                </c:pt>
                <c:pt idx="3">
                  <c:v>0.8400000000000003</c:v>
                </c:pt>
                <c:pt idx="4">
                  <c:v>0.8400000000000003</c:v>
                </c:pt>
                <c:pt idx="5">
                  <c:v>0.85000000000000031</c:v>
                </c:pt>
              </c:numCache>
            </c:numRef>
          </c:val>
          <c:smooth val="0"/>
        </c:ser>
        <c:ser>
          <c:idx val="2"/>
          <c:order val="2"/>
          <c:tx>
            <c:strRef>
              <c:f>'Success &amp; Retention by Time'!$K$628</c:f>
              <c:strCache>
                <c:ptCount val="1"/>
                <c:pt idx="0">
                  <c:v>Online Retention Rate</c:v>
                </c:pt>
              </c:strCache>
            </c:strRef>
          </c:tx>
          <c:marker>
            <c:symbol val="none"/>
          </c:marker>
          <c:cat>
            <c:strRef>
              <c:f>'Success &amp; Retention by Time'!$A$629:$A$634</c:f>
              <c:strCache>
                <c:ptCount val="6"/>
                <c:pt idx="0">
                  <c:v>Fall 2010</c:v>
                </c:pt>
                <c:pt idx="1">
                  <c:v>Spring 2011</c:v>
                </c:pt>
                <c:pt idx="2">
                  <c:v>Fall 2011</c:v>
                </c:pt>
                <c:pt idx="3">
                  <c:v>Spring 2012</c:v>
                </c:pt>
                <c:pt idx="4">
                  <c:v>Fall 2012</c:v>
                </c:pt>
                <c:pt idx="5">
                  <c:v>Spring 2013</c:v>
                </c:pt>
              </c:strCache>
            </c:strRef>
          </c:cat>
          <c:val>
            <c:numRef>
              <c:f>'Success &amp; Retention by Time'!$K$629:$K$634</c:f>
              <c:numCache>
                <c:formatCode>0%</c:formatCode>
                <c:ptCount val="6"/>
                <c:pt idx="0">
                  <c:v>0.63000000000000034</c:v>
                </c:pt>
                <c:pt idx="1">
                  <c:v>0.73000000000000032</c:v>
                </c:pt>
                <c:pt idx="2">
                  <c:v>0.75000000000000033</c:v>
                </c:pt>
                <c:pt idx="3">
                  <c:v>0.83000000000000029</c:v>
                </c:pt>
                <c:pt idx="4">
                  <c:v>0.67000000000000048</c:v>
                </c:pt>
                <c:pt idx="5">
                  <c:v>0.67000000000000048</c:v>
                </c:pt>
              </c:numCache>
            </c:numRef>
          </c:val>
          <c:smooth val="0"/>
        </c:ser>
        <c:dLbls>
          <c:showLegendKey val="0"/>
          <c:showVal val="0"/>
          <c:showCatName val="0"/>
          <c:showSerName val="0"/>
          <c:showPercent val="0"/>
          <c:showBubbleSize val="0"/>
        </c:dLbls>
        <c:marker val="1"/>
        <c:smooth val="0"/>
        <c:axId val="79218176"/>
        <c:axId val="79219712"/>
      </c:lineChart>
      <c:catAx>
        <c:axId val="79218176"/>
        <c:scaling>
          <c:orientation val="minMax"/>
        </c:scaling>
        <c:delete val="0"/>
        <c:axPos val="b"/>
        <c:majorTickMark val="out"/>
        <c:minorTickMark val="none"/>
        <c:tickLblPos val="nextTo"/>
        <c:txPr>
          <a:bodyPr rot="-5400000" vert="horz"/>
          <a:lstStyle/>
          <a:p>
            <a:pPr>
              <a:defRPr/>
            </a:pPr>
            <a:endParaRPr lang="en-US"/>
          </a:p>
        </c:txPr>
        <c:crossAx val="79219712"/>
        <c:crosses val="autoZero"/>
        <c:auto val="1"/>
        <c:lblAlgn val="ctr"/>
        <c:lblOffset val="100"/>
        <c:noMultiLvlLbl val="0"/>
      </c:catAx>
      <c:valAx>
        <c:axId val="79219712"/>
        <c:scaling>
          <c:orientation val="minMax"/>
          <c:max val="1"/>
          <c:min val="0.4"/>
        </c:scaling>
        <c:delete val="0"/>
        <c:axPos val="l"/>
        <c:majorGridlines/>
        <c:numFmt formatCode="0%" sourceLinked="1"/>
        <c:majorTickMark val="out"/>
        <c:minorTickMark val="none"/>
        <c:tickLblPos val="nextTo"/>
        <c:crossAx val="79218176"/>
        <c:crosses val="autoZero"/>
        <c:crossBetween val="between"/>
      </c:valAx>
    </c:plotArea>
    <c:legend>
      <c:legendPos val="r"/>
      <c:layout>
        <c:manualLayout>
          <c:xMode val="edge"/>
          <c:yMode val="edge"/>
          <c:x val="0.63218390804597702"/>
          <c:y val="0.21441582750363378"/>
          <c:w val="0.34482758620689657"/>
          <c:h val="0.48073030711798476"/>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Math Success Rates</a:t>
            </a:r>
          </a:p>
        </c:rich>
      </c:tx>
      <c:layout/>
      <c:overlay val="0"/>
    </c:title>
    <c:autoTitleDeleted val="0"/>
    <c:plotArea>
      <c:layout/>
      <c:lineChart>
        <c:grouping val="standard"/>
        <c:varyColors val="0"/>
        <c:ser>
          <c:idx val="0"/>
          <c:order val="0"/>
          <c:tx>
            <c:strRef>
              <c:f>'Success &amp; Retention by Time'!$D$628</c:f>
              <c:strCache>
                <c:ptCount val="1"/>
                <c:pt idx="0">
                  <c:v>Day Success Rate</c:v>
                </c:pt>
              </c:strCache>
            </c:strRef>
          </c:tx>
          <c:marker>
            <c:symbol val="none"/>
          </c:marker>
          <c:cat>
            <c:strRef>
              <c:f>'Success &amp; Retention by Time'!$A$629:$A$634</c:f>
              <c:strCache>
                <c:ptCount val="6"/>
                <c:pt idx="0">
                  <c:v>Fall 2010</c:v>
                </c:pt>
                <c:pt idx="1">
                  <c:v>Spring 2011</c:v>
                </c:pt>
                <c:pt idx="2">
                  <c:v>Fall 2011</c:v>
                </c:pt>
                <c:pt idx="3">
                  <c:v>Spring 2012</c:v>
                </c:pt>
                <c:pt idx="4">
                  <c:v>Fall 2012</c:v>
                </c:pt>
                <c:pt idx="5">
                  <c:v>Spring 2013</c:v>
                </c:pt>
              </c:strCache>
            </c:strRef>
          </c:cat>
          <c:val>
            <c:numRef>
              <c:f>'Success &amp; Retention by Time'!$D$629:$D$634</c:f>
              <c:numCache>
                <c:formatCode>0%</c:formatCode>
                <c:ptCount val="6"/>
                <c:pt idx="0">
                  <c:v>0.56999999999999995</c:v>
                </c:pt>
                <c:pt idx="1">
                  <c:v>0.56000000000000005</c:v>
                </c:pt>
                <c:pt idx="2">
                  <c:v>0.62000000000000033</c:v>
                </c:pt>
                <c:pt idx="3">
                  <c:v>0.56000000000000005</c:v>
                </c:pt>
                <c:pt idx="4">
                  <c:v>0.67000000000000048</c:v>
                </c:pt>
                <c:pt idx="5">
                  <c:v>0.61000000000000032</c:v>
                </c:pt>
              </c:numCache>
            </c:numRef>
          </c:val>
          <c:smooth val="0"/>
        </c:ser>
        <c:ser>
          <c:idx val="1"/>
          <c:order val="1"/>
          <c:tx>
            <c:strRef>
              <c:f>'Success &amp; Retention by Time'!$G$628</c:f>
              <c:strCache>
                <c:ptCount val="1"/>
                <c:pt idx="0">
                  <c:v>Extended Day Success Rate</c:v>
                </c:pt>
              </c:strCache>
            </c:strRef>
          </c:tx>
          <c:marker>
            <c:symbol val="none"/>
          </c:marker>
          <c:cat>
            <c:strRef>
              <c:f>'Success &amp; Retention by Time'!$A$629:$A$634</c:f>
              <c:strCache>
                <c:ptCount val="6"/>
                <c:pt idx="0">
                  <c:v>Fall 2010</c:v>
                </c:pt>
                <c:pt idx="1">
                  <c:v>Spring 2011</c:v>
                </c:pt>
                <c:pt idx="2">
                  <c:v>Fall 2011</c:v>
                </c:pt>
                <c:pt idx="3">
                  <c:v>Spring 2012</c:v>
                </c:pt>
                <c:pt idx="4">
                  <c:v>Fall 2012</c:v>
                </c:pt>
                <c:pt idx="5">
                  <c:v>Spring 2013</c:v>
                </c:pt>
              </c:strCache>
            </c:strRef>
          </c:cat>
          <c:val>
            <c:numRef>
              <c:f>'Success &amp; Retention by Time'!$G$629:$G$634</c:f>
              <c:numCache>
                <c:formatCode>0%</c:formatCode>
                <c:ptCount val="6"/>
                <c:pt idx="0">
                  <c:v>0.52</c:v>
                </c:pt>
                <c:pt idx="1">
                  <c:v>0.52</c:v>
                </c:pt>
                <c:pt idx="2">
                  <c:v>0.56999999999999995</c:v>
                </c:pt>
                <c:pt idx="3">
                  <c:v>0.61000000000000032</c:v>
                </c:pt>
                <c:pt idx="4">
                  <c:v>0.63000000000000034</c:v>
                </c:pt>
                <c:pt idx="5">
                  <c:v>0.61000000000000032</c:v>
                </c:pt>
              </c:numCache>
            </c:numRef>
          </c:val>
          <c:smooth val="0"/>
        </c:ser>
        <c:ser>
          <c:idx val="2"/>
          <c:order val="2"/>
          <c:tx>
            <c:strRef>
              <c:f>'Success &amp; Retention by Time'!$J$628</c:f>
              <c:strCache>
                <c:ptCount val="1"/>
                <c:pt idx="0">
                  <c:v>Online Success Rate</c:v>
                </c:pt>
              </c:strCache>
            </c:strRef>
          </c:tx>
          <c:marker>
            <c:symbol val="none"/>
          </c:marker>
          <c:cat>
            <c:strRef>
              <c:f>'Success &amp; Retention by Time'!$A$629:$A$634</c:f>
              <c:strCache>
                <c:ptCount val="6"/>
                <c:pt idx="0">
                  <c:v>Fall 2010</c:v>
                </c:pt>
                <c:pt idx="1">
                  <c:v>Spring 2011</c:v>
                </c:pt>
                <c:pt idx="2">
                  <c:v>Fall 2011</c:v>
                </c:pt>
                <c:pt idx="3">
                  <c:v>Spring 2012</c:v>
                </c:pt>
                <c:pt idx="4">
                  <c:v>Fall 2012</c:v>
                </c:pt>
                <c:pt idx="5">
                  <c:v>Spring 2013</c:v>
                </c:pt>
              </c:strCache>
            </c:strRef>
          </c:cat>
          <c:val>
            <c:numRef>
              <c:f>'Success &amp; Retention by Time'!$J$629:$J$634</c:f>
              <c:numCache>
                <c:formatCode>0%</c:formatCode>
                <c:ptCount val="6"/>
                <c:pt idx="0">
                  <c:v>0.48000000000000015</c:v>
                </c:pt>
                <c:pt idx="1">
                  <c:v>0.54</c:v>
                </c:pt>
                <c:pt idx="2">
                  <c:v>0.59</c:v>
                </c:pt>
                <c:pt idx="3">
                  <c:v>0.64000000000000035</c:v>
                </c:pt>
                <c:pt idx="4">
                  <c:v>0.43000000000000016</c:v>
                </c:pt>
                <c:pt idx="5">
                  <c:v>0.43000000000000016</c:v>
                </c:pt>
              </c:numCache>
            </c:numRef>
          </c:val>
          <c:smooth val="0"/>
        </c:ser>
        <c:dLbls>
          <c:showLegendKey val="0"/>
          <c:showVal val="0"/>
          <c:showCatName val="0"/>
          <c:showSerName val="0"/>
          <c:showPercent val="0"/>
          <c:showBubbleSize val="0"/>
        </c:dLbls>
        <c:marker val="1"/>
        <c:smooth val="0"/>
        <c:axId val="79381248"/>
        <c:axId val="79382784"/>
      </c:lineChart>
      <c:catAx>
        <c:axId val="79381248"/>
        <c:scaling>
          <c:orientation val="minMax"/>
        </c:scaling>
        <c:delete val="0"/>
        <c:axPos val="b"/>
        <c:majorTickMark val="out"/>
        <c:minorTickMark val="none"/>
        <c:tickLblPos val="nextTo"/>
        <c:txPr>
          <a:bodyPr rot="-5400000" vert="horz"/>
          <a:lstStyle/>
          <a:p>
            <a:pPr>
              <a:defRPr/>
            </a:pPr>
            <a:endParaRPr lang="en-US"/>
          </a:p>
        </c:txPr>
        <c:crossAx val="79382784"/>
        <c:crosses val="autoZero"/>
        <c:auto val="1"/>
        <c:lblAlgn val="ctr"/>
        <c:lblOffset val="100"/>
        <c:noMultiLvlLbl val="0"/>
      </c:catAx>
      <c:valAx>
        <c:axId val="79382784"/>
        <c:scaling>
          <c:orientation val="minMax"/>
          <c:max val="1"/>
          <c:min val="0.4"/>
        </c:scaling>
        <c:delete val="0"/>
        <c:axPos val="l"/>
        <c:majorGridlines/>
        <c:numFmt formatCode="0%" sourceLinked="1"/>
        <c:majorTickMark val="out"/>
        <c:minorTickMark val="none"/>
        <c:tickLblPos val="nextTo"/>
        <c:crossAx val="79381248"/>
        <c:crosses val="autoZero"/>
        <c:crossBetween val="between"/>
      </c:valAx>
    </c:plotArea>
    <c:legend>
      <c:legendPos val="r"/>
      <c:layout>
        <c:manualLayout>
          <c:xMode val="edge"/>
          <c:yMode val="edge"/>
          <c:x val="0.6471613775550783"/>
          <c:y val="0.21972791249699369"/>
          <c:w val="0.3308000549518087"/>
          <c:h val="0.48073030711798476"/>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Success Rates by Ethnicity</a:t>
            </a:r>
          </a:p>
        </c:rich>
      </c:tx>
      <c:layout/>
      <c:overlay val="0"/>
    </c:title>
    <c:autoTitleDeleted val="0"/>
    <c:plotArea>
      <c:layout/>
      <c:lineChart>
        <c:grouping val="standard"/>
        <c:varyColors val="0"/>
        <c:ser>
          <c:idx val="0"/>
          <c:order val="0"/>
          <c:tx>
            <c:strRef>
              <c:f>Demographics!$U$14</c:f>
              <c:strCache>
                <c:ptCount val="1"/>
                <c:pt idx="0">
                  <c:v>African Am</c:v>
                </c:pt>
              </c:strCache>
            </c:strRef>
          </c:tx>
          <c:marker>
            <c:symbol val="none"/>
          </c:marker>
          <c:cat>
            <c:strRef>
              <c:f>Demographics!$T$15:$T$20</c:f>
              <c:strCache>
                <c:ptCount val="6"/>
                <c:pt idx="0">
                  <c:v>Fall 2010</c:v>
                </c:pt>
                <c:pt idx="1">
                  <c:v>Spring 2011</c:v>
                </c:pt>
                <c:pt idx="2">
                  <c:v>Fall 2011</c:v>
                </c:pt>
                <c:pt idx="3">
                  <c:v>Spring 2012</c:v>
                </c:pt>
                <c:pt idx="4">
                  <c:v>Fall 2012</c:v>
                </c:pt>
                <c:pt idx="5">
                  <c:v>Spring 2013</c:v>
                </c:pt>
              </c:strCache>
            </c:strRef>
          </c:cat>
          <c:val>
            <c:numRef>
              <c:f>Demographics!$U$15:$U$20</c:f>
              <c:numCache>
                <c:formatCode>0%</c:formatCode>
                <c:ptCount val="6"/>
                <c:pt idx="0">
                  <c:v>0.39130000000000026</c:v>
                </c:pt>
                <c:pt idx="1">
                  <c:v>0.57140000000000002</c:v>
                </c:pt>
                <c:pt idx="2">
                  <c:v>0.47060000000000002</c:v>
                </c:pt>
                <c:pt idx="3">
                  <c:v>0.53849999999999998</c:v>
                </c:pt>
                <c:pt idx="4">
                  <c:v>0.5</c:v>
                </c:pt>
                <c:pt idx="5">
                  <c:v>0.83330000000000004</c:v>
                </c:pt>
              </c:numCache>
            </c:numRef>
          </c:val>
          <c:smooth val="0"/>
        </c:ser>
        <c:ser>
          <c:idx val="1"/>
          <c:order val="1"/>
          <c:tx>
            <c:strRef>
              <c:f>Demographics!$V$14</c:f>
              <c:strCache>
                <c:ptCount val="1"/>
                <c:pt idx="0">
                  <c:v>White</c:v>
                </c:pt>
              </c:strCache>
            </c:strRef>
          </c:tx>
          <c:marker>
            <c:symbol val="none"/>
          </c:marker>
          <c:cat>
            <c:strRef>
              <c:f>Demographics!$T$15:$T$20</c:f>
              <c:strCache>
                <c:ptCount val="6"/>
                <c:pt idx="0">
                  <c:v>Fall 2010</c:v>
                </c:pt>
                <c:pt idx="1">
                  <c:v>Spring 2011</c:v>
                </c:pt>
                <c:pt idx="2">
                  <c:v>Fall 2011</c:v>
                </c:pt>
                <c:pt idx="3">
                  <c:v>Spring 2012</c:v>
                </c:pt>
                <c:pt idx="4">
                  <c:v>Fall 2012</c:v>
                </c:pt>
                <c:pt idx="5">
                  <c:v>Spring 2013</c:v>
                </c:pt>
              </c:strCache>
            </c:strRef>
          </c:cat>
          <c:val>
            <c:numRef>
              <c:f>Demographics!$V$15:$V$20</c:f>
              <c:numCache>
                <c:formatCode>0%</c:formatCode>
                <c:ptCount val="6"/>
                <c:pt idx="0">
                  <c:v>0.53569999999999995</c:v>
                </c:pt>
                <c:pt idx="1">
                  <c:v>0.69370000000000032</c:v>
                </c:pt>
                <c:pt idx="2">
                  <c:v>0.58209999999999962</c:v>
                </c:pt>
                <c:pt idx="3">
                  <c:v>0.58819999999999961</c:v>
                </c:pt>
                <c:pt idx="4">
                  <c:v>0.8095</c:v>
                </c:pt>
                <c:pt idx="5">
                  <c:v>0.5</c:v>
                </c:pt>
              </c:numCache>
            </c:numRef>
          </c:val>
          <c:smooth val="0"/>
        </c:ser>
        <c:ser>
          <c:idx val="2"/>
          <c:order val="2"/>
          <c:tx>
            <c:strRef>
              <c:f>Demographics!$W$14</c:f>
              <c:strCache>
                <c:ptCount val="1"/>
                <c:pt idx="0">
                  <c:v>All Hispanic</c:v>
                </c:pt>
              </c:strCache>
            </c:strRef>
          </c:tx>
          <c:marker>
            <c:symbol val="none"/>
          </c:marker>
          <c:cat>
            <c:strRef>
              <c:f>Demographics!$T$15:$T$20</c:f>
              <c:strCache>
                <c:ptCount val="6"/>
                <c:pt idx="0">
                  <c:v>Fall 2010</c:v>
                </c:pt>
                <c:pt idx="1">
                  <c:v>Spring 2011</c:v>
                </c:pt>
                <c:pt idx="2">
                  <c:v>Fall 2011</c:v>
                </c:pt>
                <c:pt idx="3">
                  <c:v>Spring 2012</c:v>
                </c:pt>
                <c:pt idx="4">
                  <c:v>Fall 2012</c:v>
                </c:pt>
                <c:pt idx="5">
                  <c:v>Spring 2013</c:v>
                </c:pt>
              </c:strCache>
            </c:strRef>
          </c:cat>
          <c:val>
            <c:numRef>
              <c:f>Demographics!$W$15:$W$20</c:f>
              <c:numCache>
                <c:formatCode>0%</c:formatCode>
                <c:ptCount val="6"/>
                <c:pt idx="0">
                  <c:v>0.52796666666666658</c:v>
                </c:pt>
                <c:pt idx="1">
                  <c:v>0.5324666666666662</c:v>
                </c:pt>
                <c:pt idx="2">
                  <c:v>0.5635</c:v>
                </c:pt>
                <c:pt idx="3">
                  <c:v>0.58313333333333339</c:v>
                </c:pt>
                <c:pt idx="4">
                  <c:v>0.6085333333333337</c:v>
                </c:pt>
                <c:pt idx="5">
                  <c:v>0.55326666666666657</c:v>
                </c:pt>
              </c:numCache>
            </c:numRef>
          </c:val>
          <c:smooth val="0"/>
        </c:ser>
        <c:ser>
          <c:idx val="3"/>
          <c:order val="3"/>
          <c:tx>
            <c:strRef>
              <c:f>Demographics!$X$14</c:f>
              <c:strCache>
                <c:ptCount val="1"/>
                <c:pt idx="0">
                  <c:v>Other</c:v>
                </c:pt>
              </c:strCache>
            </c:strRef>
          </c:tx>
          <c:marker>
            <c:symbol val="none"/>
          </c:marker>
          <c:cat>
            <c:strRef>
              <c:f>Demographics!$T$15:$T$20</c:f>
              <c:strCache>
                <c:ptCount val="6"/>
                <c:pt idx="0">
                  <c:v>Fall 2010</c:v>
                </c:pt>
                <c:pt idx="1">
                  <c:v>Spring 2011</c:v>
                </c:pt>
                <c:pt idx="2">
                  <c:v>Fall 2011</c:v>
                </c:pt>
                <c:pt idx="3">
                  <c:v>Spring 2012</c:v>
                </c:pt>
                <c:pt idx="4">
                  <c:v>Fall 2012</c:v>
                </c:pt>
                <c:pt idx="5">
                  <c:v>Spring 2013</c:v>
                </c:pt>
              </c:strCache>
            </c:strRef>
          </c:cat>
          <c:val>
            <c:numRef>
              <c:f>Demographics!$X$15:$X$20</c:f>
              <c:numCache>
                <c:formatCode>0%</c:formatCode>
                <c:ptCount val="6"/>
                <c:pt idx="0">
                  <c:v>0.49554000000000009</c:v>
                </c:pt>
                <c:pt idx="1">
                  <c:v>0.82333999999999996</c:v>
                </c:pt>
                <c:pt idx="2">
                  <c:v>0.77778000000000036</c:v>
                </c:pt>
                <c:pt idx="3">
                  <c:v>0.77141999999999999</c:v>
                </c:pt>
                <c:pt idx="4">
                  <c:v>0.66666666666666663</c:v>
                </c:pt>
                <c:pt idx="5">
                  <c:v>0.35715000000000002</c:v>
                </c:pt>
              </c:numCache>
            </c:numRef>
          </c:val>
          <c:smooth val="0"/>
        </c:ser>
        <c:ser>
          <c:idx val="4"/>
          <c:order val="4"/>
          <c:tx>
            <c:strRef>
              <c:f>Demographics!$Y$14</c:f>
              <c:strCache>
                <c:ptCount val="1"/>
                <c:pt idx="0">
                  <c:v>Unknown</c:v>
                </c:pt>
              </c:strCache>
            </c:strRef>
          </c:tx>
          <c:marker>
            <c:symbol val="none"/>
          </c:marker>
          <c:cat>
            <c:strRef>
              <c:f>Demographics!$T$15:$T$20</c:f>
              <c:strCache>
                <c:ptCount val="6"/>
                <c:pt idx="0">
                  <c:v>Fall 2010</c:v>
                </c:pt>
                <c:pt idx="1">
                  <c:v>Spring 2011</c:v>
                </c:pt>
                <c:pt idx="2">
                  <c:v>Fall 2011</c:v>
                </c:pt>
                <c:pt idx="3">
                  <c:v>Spring 2012</c:v>
                </c:pt>
                <c:pt idx="4">
                  <c:v>Fall 2012</c:v>
                </c:pt>
                <c:pt idx="5">
                  <c:v>Spring 2013</c:v>
                </c:pt>
              </c:strCache>
            </c:strRef>
          </c:cat>
          <c:val>
            <c:numRef>
              <c:f>Demographics!$Y$15:$Y$20</c:f>
              <c:numCache>
                <c:formatCode>0%</c:formatCode>
                <c:ptCount val="6"/>
                <c:pt idx="0">
                  <c:v>0.53569999999999995</c:v>
                </c:pt>
                <c:pt idx="1">
                  <c:v>0.69370000000000032</c:v>
                </c:pt>
                <c:pt idx="2">
                  <c:v>0.58209999999999962</c:v>
                </c:pt>
                <c:pt idx="3">
                  <c:v>0.58819999999999961</c:v>
                </c:pt>
                <c:pt idx="4">
                  <c:v>0.8095</c:v>
                </c:pt>
                <c:pt idx="5">
                  <c:v>0.5</c:v>
                </c:pt>
              </c:numCache>
            </c:numRef>
          </c:val>
          <c:smooth val="0"/>
        </c:ser>
        <c:dLbls>
          <c:showLegendKey val="0"/>
          <c:showVal val="0"/>
          <c:showCatName val="0"/>
          <c:showSerName val="0"/>
          <c:showPercent val="0"/>
          <c:showBubbleSize val="0"/>
        </c:dLbls>
        <c:marker val="1"/>
        <c:smooth val="0"/>
        <c:axId val="79422976"/>
        <c:axId val="79424512"/>
      </c:lineChart>
      <c:catAx>
        <c:axId val="79422976"/>
        <c:scaling>
          <c:orientation val="minMax"/>
        </c:scaling>
        <c:delete val="0"/>
        <c:axPos val="b"/>
        <c:majorTickMark val="out"/>
        <c:minorTickMark val="none"/>
        <c:tickLblPos val="nextTo"/>
        <c:crossAx val="79424512"/>
        <c:crosses val="autoZero"/>
        <c:auto val="1"/>
        <c:lblAlgn val="ctr"/>
        <c:lblOffset val="100"/>
        <c:noMultiLvlLbl val="0"/>
      </c:catAx>
      <c:valAx>
        <c:axId val="79424512"/>
        <c:scaling>
          <c:orientation val="minMax"/>
          <c:max val="1"/>
          <c:min val="0.30000000000000004"/>
        </c:scaling>
        <c:delete val="0"/>
        <c:axPos val="l"/>
        <c:majorGridlines/>
        <c:numFmt formatCode="0%" sourceLinked="1"/>
        <c:majorTickMark val="out"/>
        <c:minorTickMark val="none"/>
        <c:tickLblPos val="nextTo"/>
        <c:crossAx val="79422976"/>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Retention Rates by Ethnicity</a:t>
            </a:r>
          </a:p>
        </c:rich>
      </c:tx>
      <c:layout/>
      <c:overlay val="0"/>
    </c:title>
    <c:autoTitleDeleted val="0"/>
    <c:plotArea>
      <c:layout/>
      <c:lineChart>
        <c:grouping val="standard"/>
        <c:varyColors val="0"/>
        <c:ser>
          <c:idx val="0"/>
          <c:order val="0"/>
          <c:tx>
            <c:strRef>
              <c:f>Demographics!$U$5</c:f>
              <c:strCache>
                <c:ptCount val="1"/>
                <c:pt idx="0">
                  <c:v>African Am</c:v>
                </c:pt>
              </c:strCache>
            </c:strRef>
          </c:tx>
          <c:marker>
            <c:symbol val="none"/>
          </c:marker>
          <c:cat>
            <c:strRef>
              <c:f>Demographics!$T$6:$T$11</c:f>
              <c:strCache>
                <c:ptCount val="6"/>
                <c:pt idx="0">
                  <c:v>Fall 2010</c:v>
                </c:pt>
                <c:pt idx="1">
                  <c:v>Spring 2011</c:v>
                </c:pt>
                <c:pt idx="2">
                  <c:v>Fall 2011</c:v>
                </c:pt>
                <c:pt idx="3">
                  <c:v>Spring 2012</c:v>
                </c:pt>
                <c:pt idx="4">
                  <c:v>Fall 2012</c:v>
                </c:pt>
                <c:pt idx="5">
                  <c:v>Spring 2013</c:v>
                </c:pt>
              </c:strCache>
            </c:strRef>
          </c:cat>
          <c:val>
            <c:numRef>
              <c:f>Demographics!$U$6:$U$11</c:f>
              <c:numCache>
                <c:formatCode>0%</c:formatCode>
                <c:ptCount val="6"/>
                <c:pt idx="0">
                  <c:v>0.82609999999999995</c:v>
                </c:pt>
                <c:pt idx="1">
                  <c:v>0.90480000000000005</c:v>
                </c:pt>
                <c:pt idx="2">
                  <c:v>0.82350000000000001</c:v>
                </c:pt>
                <c:pt idx="3">
                  <c:v>0.69230000000000003</c:v>
                </c:pt>
                <c:pt idx="4">
                  <c:v>0.60000000000000031</c:v>
                </c:pt>
                <c:pt idx="5">
                  <c:v>0.83330000000000004</c:v>
                </c:pt>
              </c:numCache>
            </c:numRef>
          </c:val>
          <c:smooth val="0"/>
        </c:ser>
        <c:ser>
          <c:idx val="1"/>
          <c:order val="1"/>
          <c:tx>
            <c:strRef>
              <c:f>Demographics!$V$5</c:f>
              <c:strCache>
                <c:ptCount val="1"/>
                <c:pt idx="0">
                  <c:v>White</c:v>
                </c:pt>
              </c:strCache>
            </c:strRef>
          </c:tx>
          <c:marker>
            <c:symbol val="none"/>
          </c:marker>
          <c:cat>
            <c:strRef>
              <c:f>Demographics!$T$6:$T$11</c:f>
              <c:strCache>
                <c:ptCount val="6"/>
                <c:pt idx="0">
                  <c:v>Fall 2010</c:v>
                </c:pt>
                <c:pt idx="1">
                  <c:v>Spring 2011</c:v>
                </c:pt>
                <c:pt idx="2">
                  <c:v>Fall 2011</c:v>
                </c:pt>
                <c:pt idx="3">
                  <c:v>Spring 2012</c:v>
                </c:pt>
                <c:pt idx="4">
                  <c:v>Fall 2012</c:v>
                </c:pt>
                <c:pt idx="5">
                  <c:v>Spring 2013</c:v>
                </c:pt>
              </c:strCache>
            </c:strRef>
          </c:cat>
          <c:val>
            <c:numRef>
              <c:f>Demographics!$V$6:$V$11</c:f>
              <c:numCache>
                <c:formatCode>0%</c:formatCode>
                <c:ptCount val="6"/>
                <c:pt idx="0">
                  <c:v>0.82140000000000002</c:v>
                </c:pt>
                <c:pt idx="1">
                  <c:v>0.8108000000000003</c:v>
                </c:pt>
                <c:pt idx="2">
                  <c:v>0.79100000000000004</c:v>
                </c:pt>
                <c:pt idx="3">
                  <c:v>0.7843</c:v>
                </c:pt>
                <c:pt idx="4">
                  <c:v>0.90480000000000005</c:v>
                </c:pt>
                <c:pt idx="5">
                  <c:v>0.75000000000000033</c:v>
                </c:pt>
              </c:numCache>
            </c:numRef>
          </c:val>
          <c:smooth val="0"/>
        </c:ser>
        <c:ser>
          <c:idx val="2"/>
          <c:order val="2"/>
          <c:tx>
            <c:strRef>
              <c:f>Demographics!$W$5</c:f>
              <c:strCache>
                <c:ptCount val="1"/>
                <c:pt idx="0">
                  <c:v>All Hispanic</c:v>
                </c:pt>
              </c:strCache>
            </c:strRef>
          </c:tx>
          <c:marker>
            <c:symbol val="none"/>
          </c:marker>
          <c:cat>
            <c:strRef>
              <c:f>Demographics!$T$6:$T$11</c:f>
              <c:strCache>
                <c:ptCount val="6"/>
                <c:pt idx="0">
                  <c:v>Fall 2010</c:v>
                </c:pt>
                <c:pt idx="1">
                  <c:v>Spring 2011</c:v>
                </c:pt>
                <c:pt idx="2">
                  <c:v>Fall 2011</c:v>
                </c:pt>
                <c:pt idx="3">
                  <c:v>Spring 2012</c:v>
                </c:pt>
                <c:pt idx="4">
                  <c:v>Fall 2012</c:v>
                </c:pt>
                <c:pt idx="5">
                  <c:v>Spring 2013</c:v>
                </c:pt>
              </c:strCache>
            </c:strRef>
          </c:cat>
          <c:val>
            <c:numRef>
              <c:f>Demographics!$W$6:$W$11</c:f>
              <c:numCache>
                <c:formatCode>0%</c:formatCode>
                <c:ptCount val="6"/>
                <c:pt idx="0">
                  <c:v>0.82680000000000031</c:v>
                </c:pt>
                <c:pt idx="1">
                  <c:v>0.8202333333333337</c:v>
                </c:pt>
                <c:pt idx="2">
                  <c:v>0.81390000000000029</c:v>
                </c:pt>
                <c:pt idx="3">
                  <c:v>0.86456666666666659</c:v>
                </c:pt>
                <c:pt idx="4">
                  <c:v>0.8219000000000003</c:v>
                </c:pt>
                <c:pt idx="5">
                  <c:v>0.78016666666666656</c:v>
                </c:pt>
              </c:numCache>
            </c:numRef>
          </c:val>
          <c:smooth val="0"/>
        </c:ser>
        <c:ser>
          <c:idx val="3"/>
          <c:order val="3"/>
          <c:tx>
            <c:strRef>
              <c:f>Demographics!$X$5</c:f>
              <c:strCache>
                <c:ptCount val="1"/>
                <c:pt idx="0">
                  <c:v>Other</c:v>
                </c:pt>
              </c:strCache>
            </c:strRef>
          </c:tx>
          <c:marker>
            <c:symbol val="none"/>
          </c:marker>
          <c:cat>
            <c:strRef>
              <c:f>Demographics!$T$6:$T$11</c:f>
              <c:strCache>
                <c:ptCount val="6"/>
                <c:pt idx="0">
                  <c:v>Fall 2010</c:v>
                </c:pt>
                <c:pt idx="1">
                  <c:v>Spring 2011</c:v>
                </c:pt>
                <c:pt idx="2">
                  <c:v>Fall 2011</c:v>
                </c:pt>
                <c:pt idx="3">
                  <c:v>Spring 2012</c:v>
                </c:pt>
                <c:pt idx="4">
                  <c:v>Fall 2012</c:v>
                </c:pt>
                <c:pt idx="5">
                  <c:v>Spring 2013</c:v>
                </c:pt>
              </c:strCache>
            </c:strRef>
          </c:cat>
          <c:val>
            <c:numRef>
              <c:f>Demographics!$X$6:$X$11</c:f>
              <c:numCache>
                <c:formatCode>0%</c:formatCode>
                <c:ptCount val="6"/>
                <c:pt idx="0">
                  <c:v>0.8</c:v>
                </c:pt>
                <c:pt idx="1">
                  <c:v>0.87334000000000034</c:v>
                </c:pt>
                <c:pt idx="2">
                  <c:v>0.77778000000000036</c:v>
                </c:pt>
                <c:pt idx="3">
                  <c:v>0.9</c:v>
                </c:pt>
                <c:pt idx="4">
                  <c:v>0.75000000000000033</c:v>
                </c:pt>
                <c:pt idx="5">
                  <c:v>0.5</c:v>
                </c:pt>
              </c:numCache>
            </c:numRef>
          </c:val>
          <c:smooth val="0"/>
        </c:ser>
        <c:ser>
          <c:idx val="4"/>
          <c:order val="4"/>
          <c:tx>
            <c:strRef>
              <c:f>Demographics!$Y$5</c:f>
              <c:strCache>
                <c:ptCount val="1"/>
                <c:pt idx="0">
                  <c:v>Unknown</c:v>
                </c:pt>
              </c:strCache>
            </c:strRef>
          </c:tx>
          <c:marker>
            <c:symbol val="none"/>
          </c:marker>
          <c:cat>
            <c:strRef>
              <c:f>Demographics!$T$6:$T$11</c:f>
              <c:strCache>
                <c:ptCount val="6"/>
                <c:pt idx="0">
                  <c:v>Fall 2010</c:v>
                </c:pt>
                <c:pt idx="1">
                  <c:v>Spring 2011</c:v>
                </c:pt>
                <c:pt idx="2">
                  <c:v>Fall 2011</c:v>
                </c:pt>
                <c:pt idx="3">
                  <c:v>Spring 2012</c:v>
                </c:pt>
                <c:pt idx="4">
                  <c:v>Fall 2012</c:v>
                </c:pt>
                <c:pt idx="5">
                  <c:v>Spring 2013</c:v>
                </c:pt>
              </c:strCache>
            </c:strRef>
          </c:cat>
          <c:val>
            <c:numRef>
              <c:f>Demographics!$Y$6:$Y$11</c:f>
              <c:numCache>
                <c:formatCode>0%</c:formatCode>
                <c:ptCount val="6"/>
                <c:pt idx="0">
                  <c:v>0.82240000000000002</c:v>
                </c:pt>
                <c:pt idx="1">
                  <c:v>0.78520000000000001</c:v>
                </c:pt>
                <c:pt idx="2">
                  <c:v>0.82660000000000033</c:v>
                </c:pt>
                <c:pt idx="3">
                  <c:v>0.78359999999999996</c:v>
                </c:pt>
                <c:pt idx="4">
                  <c:v>0.82720000000000005</c:v>
                </c:pt>
                <c:pt idx="5">
                  <c:v>0.84210000000000029</c:v>
                </c:pt>
              </c:numCache>
            </c:numRef>
          </c:val>
          <c:smooth val="0"/>
        </c:ser>
        <c:dLbls>
          <c:showLegendKey val="0"/>
          <c:showVal val="0"/>
          <c:showCatName val="0"/>
          <c:showSerName val="0"/>
          <c:showPercent val="0"/>
          <c:showBubbleSize val="0"/>
        </c:dLbls>
        <c:marker val="1"/>
        <c:smooth val="0"/>
        <c:axId val="84699392"/>
        <c:axId val="84709376"/>
      </c:lineChart>
      <c:catAx>
        <c:axId val="84699392"/>
        <c:scaling>
          <c:orientation val="minMax"/>
        </c:scaling>
        <c:delete val="0"/>
        <c:axPos val="b"/>
        <c:majorTickMark val="out"/>
        <c:minorTickMark val="none"/>
        <c:tickLblPos val="nextTo"/>
        <c:crossAx val="84709376"/>
        <c:crosses val="autoZero"/>
        <c:auto val="1"/>
        <c:lblAlgn val="ctr"/>
        <c:lblOffset val="100"/>
        <c:noMultiLvlLbl val="0"/>
      </c:catAx>
      <c:valAx>
        <c:axId val="84709376"/>
        <c:scaling>
          <c:orientation val="minMax"/>
          <c:min val="0.30000000000000004"/>
        </c:scaling>
        <c:delete val="0"/>
        <c:axPos val="l"/>
        <c:majorGridlines/>
        <c:numFmt formatCode="0%" sourceLinked="1"/>
        <c:majorTickMark val="out"/>
        <c:minorTickMark val="none"/>
        <c:tickLblPos val="nextTo"/>
        <c:crossAx val="84699392"/>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13E0-CA2B-4BAA-9EBE-B34209C3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Program Review Template - Revised by CIO and Deans 01-09-14</Template>
  <TotalTime>2</TotalTime>
  <Pages>15</Pages>
  <Words>2441</Words>
  <Characters>13916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Castrapel</dc:creator>
  <cp:lastModifiedBy>Tina Aguirre</cp:lastModifiedBy>
  <cp:revision>2</cp:revision>
  <cp:lastPrinted>2013-11-14T21:50:00Z</cp:lastPrinted>
  <dcterms:created xsi:type="dcterms:W3CDTF">2014-03-05T20:34:00Z</dcterms:created>
  <dcterms:modified xsi:type="dcterms:W3CDTF">2014-03-05T20:34:00Z</dcterms:modified>
</cp:coreProperties>
</file>