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bookmarkStart w:id="0" w:name="_GoBack"/>
      <w:bookmarkEnd w:id="0"/>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6173D5" w:rsidRDefault="006173D5">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6173D5" w:rsidRDefault="006173D5">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354769" w:rsidP="007E4294">
            <w:pPr>
              <w:rPr>
                <w:sz w:val="24"/>
                <w:szCs w:val="24"/>
              </w:rPr>
            </w:pPr>
            <w:r>
              <w:rPr>
                <w:sz w:val="24"/>
                <w:szCs w:val="24"/>
              </w:rPr>
              <w:t>2012-2013</w:t>
            </w:r>
          </w:p>
        </w:tc>
        <w:tc>
          <w:tcPr>
            <w:tcW w:w="6912" w:type="dxa"/>
            <w:vAlign w:val="center"/>
          </w:tcPr>
          <w:p w:rsidR="000403F6" w:rsidRDefault="00046042" w:rsidP="00354769">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354769">
              <w:rPr>
                <w:sz w:val="24"/>
                <w:szCs w:val="24"/>
              </w:rPr>
              <w:fldChar w:fldCharType="begin">
                <w:ffData>
                  <w:name w:val=""/>
                  <w:enabled/>
                  <w:calcOnExit w:val="0"/>
                  <w:checkBox>
                    <w:sizeAuto/>
                    <w:default w:val="1"/>
                  </w:checkBox>
                </w:ffData>
              </w:fldChar>
            </w:r>
            <w:r w:rsidR="00354769">
              <w:rPr>
                <w:sz w:val="24"/>
                <w:szCs w:val="24"/>
              </w:rPr>
              <w:instrText xml:space="preserve"> FORMCHECKBOX </w:instrText>
            </w:r>
            <w:r w:rsidR="00354769">
              <w:rPr>
                <w:sz w:val="24"/>
                <w:szCs w:val="24"/>
              </w:rPr>
            </w:r>
            <w:r w:rsidR="00354769">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D71CCE" w:rsidP="004B7383">
            <w:pPr>
              <w:rPr>
                <w:sz w:val="24"/>
                <w:szCs w:val="24"/>
              </w:rPr>
            </w:pPr>
            <w:r>
              <w:rPr>
                <w:sz w:val="24"/>
                <w:szCs w:val="24"/>
              </w:rPr>
              <w:t>General</w:t>
            </w:r>
            <w:r w:rsidR="00354769">
              <w:rPr>
                <w:sz w:val="24"/>
                <w:szCs w:val="24"/>
              </w:rPr>
              <w:t xml:space="preserve"> Science</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354769" w:rsidP="004B7383">
            <w:pPr>
              <w:rPr>
                <w:sz w:val="24"/>
                <w:szCs w:val="24"/>
              </w:rPr>
            </w:pPr>
            <w:r>
              <w:rPr>
                <w:sz w:val="24"/>
                <w:szCs w:val="24"/>
              </w:rPr>
              <w:t>Science, Math, and Engineering</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D71CCE" w:rsidP="004B7383">
            <w:pPr>
              <w:rPr>
                <w:sz w:val="24"/>
                <w:szCs w:val="24"/>
              </w:rPr>
            </w:pPr>
            <w:r>
              <w:rPr>
                <w:sz w:val="24"/>
                <w:szCs w:val="24"/>
              </w:rPr>
              <w:t>Health and Sciences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354769" w:rsidP="004B7383">
            <w:pPr>
              <w:rPr>
                <w:sz w:val="24"/>
                <w:szCs w:val="24"/>
              </w:rPr>
            </w:pPr>
            <w:r>
              <w:rPr>
                <w:sz w:val="24"/>
                <w:szCs w:val="24"/>
              </w:rPr>
              <w:t>Daniel Gilison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Identify Program</w:t>
            </w:r>
            <w:r w:rsidR="00D71CCE">
              <w:rPr>
                <w:b/>
                <w:sz w:val="24"/>
                <w:szCs w:val="24"/>
              </w:rPr>
              <w:t xml:space="preserve"> Goal from Last Program Review:  Attract more students to upper-level chemistry courses by hiring a new chemistry instructor and physics instructor.</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1E25D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D71CCE" w:rsidP="00D001FF">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D71CCE" w:rsidP="00D71CC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r w:rsidRPr="001803A1">
              <w:rPr>
                <w:noProof/>
                <w:sz w:val="24"/>
                <w:szCs w:val="24"/>
              </w:rPr>
              <w:t xml:space="preserve"> </w:t>
            </w:r>
          </w:p>
        </w:tc>
        <w:tc>
          <w:tcPr>
            <w:tcW w:w="3420" w:type="dxa"/>
            <w:tcBorders>
              <w:top w:val="single" w:sz="4" w:space="0" w:color="auto"/>
              <w:left w:val="nil"/>
              <w:bottom w:val="nil"/>
              <w:right w:val="single" w:sz="4" w:space="0" w:color="auto"/>
            </w:tcBorders>
          </w:tcPr>
          <w:p w:rsidR="005B59C1" w:rsidRDefault="00D71CCE" w:rsidP="000C3BC9">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D71CCE">
              <w:rPr>
                <w:sz w:val="24"/>
                <w:szCs w:val="24"/>
              </w:rPr>
              <w:t>A new chemistry instructor was hired, but there has not been a request, or demand, for a new physics instructor.  Enrollment of upper-level chemistry classes is increasing, but demand for more sections of these courses has not increased at this time.</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D71CCE">
              <w:rPr>
                <w:b/>
                <w:sz w:val="24"/>
                <w:szCs w:val="24"/>
              </w:rPr>
              <w:t>Incorporation of the new planetarium into the classroom curriculum of ASTR 100</w:t>
            </w:r>
            <w:r w:rsidR="00007E16">
              <w:rPr>
                <w:b/>
                <w:sz w:val="24"/>
                <w:szCs w:val="24"/>
              </w:rPr>
              <w:t>.</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E25D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E25D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1E25D4"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007E16">
              <w:rPr>
                <w:sz w:val="24"/>
                <w:szCs w:val="24"/>
              </w:rPr>
              <w:t>The new planetarium is being used multiple times each semester for each ASTR 100 section.</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007E16">
              <w:rPr>
                <w:b/>
                <w:sz w:val="24"/>
                <w:szCs w:val="24"/>
              </w:rPr>
              <w:t xml:space="preserve">Develop more course offerings in the following areas to expand the program: meteorology, oceanography and historical geology.  This would require one additional full-time faculty member for the geology program to allow IVC to have </w:t>
            </w:r>
            <w:proofErr w:type="gramStart"/>
            <w:r w:rsidR="00007E16">
              <w:rPr>
                <w:b/>
                <w:sz w:val="24"/>
                <w:szCs w:val="24"/>
              </w:rPr>
              <w:t>a Geology</w:t>
            </w:r>
            <w:proofErr w:type="gramEnd"/>
            <w:r w:rsidR="00007E16">
              <w:rPr>
                <w:b/>
                <w:sz w:val="24"/>
                <w:szCs w:val="24"/>
              </w:rPr>
              <w:t xml:space="preserve"> major.</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E25D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E25D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1E25D4"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007E16">
              <w:rPr>
                <w:noProof/>
                <w:sz w:val="24"/>
                <w:szCs w:val="24"/>
              </w:rPr>
              <w:t>There has been work on a new geology course, GEOL 130, but at the time, there is no demand for another full-time Geology faculty member.  A part-time Geology member has been hired.</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110022" w:rsidRDefault="00884DB9" w:rsidP="00110022">
      <w:pPr>
        <w:pStyle w:val="ListParagraph"/>
        <w:spacing w:after="0" w:line="240" w:lineRule="auto"/>
        <w:ind w:left="1800"/>
        <w:rPr>
          <w:sz w:val="24"/>
          <w:szCs w:val="24"/>
        </w:rPr>
      </w:pPr>
      <w:r>
        <w:rPr>
          <w:sz w:val="24"/>
          <w:szCs w:val="24"/>
        </w:rPr>
        <w:t>Data was not provided for enrollment and fill rates for day and evening classes, only for overall sections of each course.</w:t>
      </w:r>
    </w:p>
    <w:p w:rsidR="00884DB9" w:rsidRDefault="00796559" w:rsidP="00110022">
      <w:pPr>
        <w:pStyle w:val="ListParagraph"/>
        <w:spacing w:after="0" w:line="240" w:lineRule="auto"/>
        <w:ind w:left="1800"/>
        <w:rPr>
          <w:sz w:val="24"/>
          <w:szCs w:val="24"/>
        </w:rPr>
      </w:pPr>
      <w:r>
        <w:rPr>
          <w:noProof/>
        </w:rPr>
        <w:drawing>
          <wp:inline distT="0" distB="0" distL="0" distR="0" wp14:anchorId="146C64A6" wp14:editId="08B5104A">
            <wp:extent cx="7134225" cy="20383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6559" w:rsidRPr="006173D5" w:rsidRDefault="00796559" w:rsidP="00110022">
      <w:pPr>
        <w:pStyle w:val="ListParagraph"/>
        <w:spacing w:after="0" w:line="240" w:lineRule="auto"/>
        <w:ind w:left="1800"/>
        <w:rPr>
          <w:sz w:val="12"/>
          <w:szCs w:val="24"/>
        </w:rPr>
      </w:pPr>
    </w:p>
    <w:p w:rsidR="00796559" w:rsidRDefault="00796559" w:rsidP="00110022">
      <w:pPr>
        <w:pStyle w:val="ListParagraph"/>
        <w:spacing w:after="0" w:line="240" w:lineRule="auto"/>
        <w:ind w:left="1800"/>
        <w:rPr>
          <w:sz w:val="24"/>
          <w:szCs w:val="24"/>
        </w:rPr>
      </w:pPr>
      <w:r>
        <w:rPr>
          <w:noProof/>
        </w:rPr>
        <w:drawing>
          <wp:inline distT="0" distB="0" distL="0" distR="0" wp14:anchorId="381D4425" wp14:editId="71E55D9C">
            <wp:extent cx="7134225" cy="22479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6559" w:rsidRDefault="00796559" w:rsidP="00110022">
      <w:pPr>
        <w:pStyle w:val="ListParagraph"/>
        <w:spacing w:after="0" w:line="240" w:lineRule="auto"/>
        <w:ind w:left="1800"/>
        <w:rPr>
          <w:sz w:val="24"/>
          <w:szCs w:val="24"/>
        </w:rPr>
      </w:pPr>
    </w:p>
    <w:p w:rsidR="00796559" w:rsidRDefault="00796559" w:rsidP="00110022">
      <w:pPr>
        <w:pStyle w:val="ListParagraph"/>
        <w:spacing w:after="0" w:line="240" w:lineRule="auto"/>
        <w:ind w:left="1800"/>
        <w:rPr>
          <w:sz w:val="24"/>
          <w:szCs w:val="24"/>
        </w:rPr>
      </w:pPr>
      <w:r>
        <w:rPr>
          <w:sz w:val="24"/>
          <w:szCs w:val="24"/>
        </w:rPr>
        <w:lastRenderedPageBreak/>
        <w:t>Enrollment levels and fill rates for AG/ENVS 110 were not complete in the data, so the information on those classes could not be provided here.  CHEM 204 and CHEM 206 were not offered in the past 3 years, so there is no data for those classes.</w:t>
      </w:r>
    </w:p>
    <w:p w:rsidR="00796559" w:rsidRDefault="00796559" w:rsidP="00110022">
      <w:pPr>
        <w:pStyle w:val="ListParagraph"/>
        <w:spacing w:after="0" w:line="240" w:lineRule="auto"/>
        <w:ind w:left="1800"/>
        <w:rPr>
          <w:sz w:val="24"/>
          <w:szCs w:val="24"/>
        </w:rPr>
      </w:pPr>
    </w:p>
    <w:p w:rsidR="00796559" w:rsidRDefault="00796559" w:rsidP="00110022">
      <w:pPr>
        <w:pStyle w:val="ListParagraph"/>
        <w:spacing w:after="0" w:line="240" w:lineRule="auto"/>
        <w:ind w:left="1800"/>
        <w:rPr>
          <w:sz w:val="24"/>
          <w:szCs w:val="24"/>
        </w:rPr>
      </w:pPr>
      <w:r>
        <w:rPr>
          <w:sz w:val="24"/>
          <w:szCs w:val="24"/>
        </w:rPr>
        <w:t>Overall, enrollment and fill rates have been very high for science classes, with CHEM 160 and CHEM 202 having the lowest enrollments and fill rates.  CHEM 160 was primarily for nursing students, and has since been dropped as a prerequisite for the nursing program.  CHEM 202 enrollment has been decreasing over the years due to a lack of CHEM 100 sections feeding into CHEM 200 and CHEM 202.</w:t>
      </w:r>
    </w:p>
    <w:p w:rsidR="00110022" w:rsidRDefault="00110022" w:rsidP="00110022">
      <w:pPr>
        <w:pStyle w:val="ListParagraph"/>
        <w:spacing w:after="0" w:line="240" w:lineRule="auto"/>
        <w:ind w:left="1800"/>
        <w:rPr>
          <w:sz w:val="24"/>
          <w:szCs w:val="24"/>
        </w:rPr>
      </w:pPr>
    </w:p>
    <w:p w:rsidR="002227FE" w:rsidRDefault="002227FE"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AE5D09" w:rsidRDefault="00AE5D09" w:rsidP="00110022">
      <w:pPr>
        <w:pStyle w:val="ListParagraph"/>
        <w:spacing w:after="0" w:line="240" w:lineRule="auto"/>
        <w:ind w:left="1800"/>
        <w:rPr>
          <w:sz w:val="24"/>
          <w:szCs w:val="24"/>
        </w:rPr>
      </w:pPr>
      <w:r>
        <w:rPr>
          <w:noProof/>
        </w:rPr>
        <w:drawing>
          <wp:inline distT="0" distB="0" distL="0" distR="0" wp14:anchorId="12B31945" wp14:editId="6B919A5E">
            <wp:extent cx="3905250" cy="24765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367AA853" wp14:editId="60605C7A">
            <wp:extent cx="3752850" cy="24765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6488" w:rsidRDefault="00396488" w:rsidP="00110022">
      <w:pPr>
        <w:pStyle w:val="ListParagraph"/>
        <w:spacing w:after="0" w:line="240" w:lineRule="auto"/>
        <w:ind w:left="1800"/>
        <w:rPr>
          <w:sz w:val="24"/>
          <w:szCs w:val="24"/>
        </w:rPr>
      </w:pPr>
      <w:r>
        <w:rPr>
          <w:sz w:val="24"/>
          <w:szCs w:val="24"/>
        </w:rPr>
        <w:t>The only data given to analyze in the General Science program was for Geography and Geology.  The average WSCH/FTEF in Geography is 626, and for 514 for Geology.  The high value for Geography is due to class sections having a cap of 40, whereas Geology classes have a cap of 35.</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lastRenderedPageBreak/>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396488" w:rsidP="0023193A">
      <w:pPr>
        <w:pStyle w:val="ListParagraph"/>
        <w:spacing w:after="0" w:line="240" w:lineRule="auto"/>
        <w:ind w:left="1800"/>
        <w:rPr>
          <w:sz w:val="24"/>
          <w:szCs w:val="24"/>
        </w:rPr>
      </w:pPr>
      <w:r>
        <w:rPr>
          <w:sz w:val="24"/>
          <w:szCs w:val="24"/>
        </w:rPr>
        <w:t>This data was not provided, so I am unable to discuss and chart this information.</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396488" w:rsidRDefault="00396488" w:rsidP="00555678">
      <w:pPr>
        <w:pStyle w:val="ListParagraph"/>
        <w:spacing w:after="0" w:line="240" w:lineRule="auto"/>
        <w:ind w:left="1800"/>
        <w:rPr>
          <w:sz w:val="24"/>
          <w:szCs w:val="24"/>
        </w:rPr>
      </w:pPr>
      <w:r>
        <w:rPr>
          <w:noProof/>
        </w:rPr>
        <w:drawing>
          <wp:inline distT="0" distB="0" distL="0" distR="0" wp14:anchorId="78130D6E" wp14:editId="5CB460FA">
            <wp:extent cx="3566160" cy="2743200"/>
            <wp:effectExtent l="0" t="0" r="1524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4E7C2B71" wp14:editId="40B6C9F5">
            <wp:extent cx="3566160" cy="2743200"/>
            <wp:effectExtent l="0" t="0" r="1524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543E" w:rsidRDefault="008E543E" w:rsidP="00555678">
      <w:pPr>
        <w:pStyle w:val="ListParagraph"/>
        <w:spacing w:after="0" w:line="240" w:lineRule="auto"/>
        <w:ind w:left="1800"/>
        <w:rPr>
          <w:sz w:val="24"/>
          <w:szCs w:val="24"/>
        </w:rPr>
      </w:pPr>
    </w:p>
    <w:p w:rsidR="008E543E" w:rsidRDefault="008E543E" w:rsidP="00555678">
      <w:pPr>
        <w:pStyle w:val="ListParagraph"/>
        <w:spacing w:after="0" w:line="240" w:lineRule="auto"/>
        <w:ind w:left="1800"/>
        <w:rPr>
          <w:sz w:val="24"/>
          <w:szCs w:val="24"/>
        </w:rPr>
      </w:pPr>
      <w:r>
        <w:rPr>
          <w:sz w:val="24"/>
          <w:szCs w:val="24"/>
        </w:rPr>
        <w:t xml:space="preserve">Due to the small number of African-American, White, Other, and Unknown students, any comparison between those groups and the Hispanic group would be statistically irrelevant. </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8E543E" w:rsidP="00555678">
      <w:pPr>
        <w:pStyle w:val="ListParagraph"/>
        <w:spacing w:after="0" w:line="240" w:lineRule="auto"/>
        <w:ind w:left="1800"/>
        <w:rPr>
          <w:sz w:val="24"/>
          <w:szCs w:val="24"/>
        </w:rPr>
      </w:pPr>
      <w:r>
        <w:rPr>
          <w:sz w:val="24"/>
          <w:szCs w:val="24"/>
        </w:rPr>
        <w:t xml:space="preserve">216 General Science degrees were awarded in the past 3 years.  This is one of the more popular degrees, with many students </w:t>
      </w:r>
      <w:r>
        <w:rPr>
          <w:sz w:val="24"/>
          <w:szCs w:val="24"/>
        </w:rPr>
        <w:lastRenderedPageBreak/>
        <w:t>graduating from IVC with a General Science degree, as compared to other degrees.</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8E543E" w:rsidP="00555678">
      <w:pPr>
        <w:pStyle w:val="ListParagraph"/>
        <w:spacing w:after="0" w:line="240" w:lineRule="auto"/>
        <w:ind w:left="1800"/>
        <w:rPr>
          <w:sz w:val="24"/>
          <w:szCs w:val="24"/>
        </w:rPr>
      </w:pPr>
      <w:r>
        <w:rPr>
          <w:sz w:val="24"/>
          <w:szCs w:val="24"/>
        </w:rPr>
        <w:t>With the hiring of a new Chemistry instructor, we are continuing to increase the number of CHEM 100 sections offered.  This will feed more students into the upper-level Chemistry classes, such as CHEM 200 and CHEM 202, which should help to increase enrollment in and demand for those courses.</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8E543E" w:rsidRPr="00AE599F" w:rsidRDefault="008E543E" w:rsidP="008E543E">
      <w:pPr>
        <w:spacing w:after="0" w:line="240" w:lineRule="auto"/>
        <w:ind w:left="1440"/>
        <w:rPr>
          <w:sz w:val="24"/>
          <w:szCs w:val="24"/>
        </w:rPr>
      </w:pPr>
      <w:r>
        <w:rPr>
          <w:sz w:val="24"/>
          <w:szCs w:val="24"/>
        </w:rPr>
        <w:t xml:space="preserve">GEOL 110 was offered online for several years, but is in the process of being revamped with the intention of offering it again in the </w:t>
      </w:r>
      <w:proofErr w:type="gramStart"/>
      <w:r>
        <w:rPr>
          <w:sz w:val="24"/>
          <w:szCs w:val="24"/>
        </w:rPr>
        <w:t>Fall</w:t>
      </w:r>
      <w:proofErr w:type="gramEnd"/>
      <w:r>
        <w:rPr>
          <w:sz w:val="24"/>
          <w:szCs w:val="24"/>
        </w:rPr>
        <w:t xml:space="preserve"> 2014 semester.  The use of the lecture hall (2734) for lecture-only and lab courses has helped with room scheduling, but most instructors have either found difficulty with teaching in the room, or simply do not prefer to teach there.</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8E543E" w:rsidP="006D4F29">
      <w:pPr>
        <w:spacing w:after="0" w:line="240" w:lineRule="auto"/>
        <w:ind w:left="1440"/>
        <w:rPr>
          <w:sz w:val="24"/>
          <w:szCs w:val="24"/>
        </w:rPr>
      </w:pPr>
      <w:r>
        <w:rPr>
          <w:sz w:val="24"/>
          <w:szCs w:val="24"/>
        </w:rPr>
        <w:t>Overall, the General Science program is very healthy, and one of the more popular degrees at IVC.  While areas within the degree may fluctuate in FTES, overall the program provides a great deal of FTES to the college.  This is a stable program with potential for growth.</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8E543E">
              <w:rPr>
                <w:sz w:val="24"/>
                <w:szCs w:val="24"/>
              </w:rPr>
              <w:t>Increase student transfer opportunities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16DC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8E543E">
              <w:rPr>
                <w:sz w:val="24"/>
                <w:szCs w:val="24"/>
              </w:rPr>
              <w:t>Increase number of sections of lower-level chemistry classes</w:t>
            </w:r>
            <w:r w:rsidR="00A97135">
              <w:rPr>
                <w:sz w:val="24"/>
                <w:szCs w:val="24"/>
              </w:rPr>
              <w:t xml:space="preserve"> (CHEM 100, 200, 202)</w:t>
            </w:r>
            <w:r w:rsidR="008E543E">
              <w:rPr>
                <w:sz w:val="24"/>
                <w:szCs w:val="24"/>
              </w:rPr>
              <w:t>, and offer upper-level chemistry classes</w:t>
            </w:r>
            <w:r w:rsidR="00A97135">
              <w:rPr>
                <w:sz w:val="24"/>
                <w:szCs w:val="24"/>
              </w:rPr>
              <w:t xml:space="preserve"> (CHEM 204, 206)</w:t>
            </w:r>
            <w:r w:rsidR="008E543E">
              <w:rPr>
                <w:sz w:val="24"/>
                <w:szCs w:val="24"/>
              </w:rPr>
              <w:t>.</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A97135">
              <w:rPr>
                <w:sz w:val="24"/>
                <w:szCs w:val="24"/>
              </w:rPr>
              <w:t>Hire another Chemistry instructor to teach additional CHEM 100 and upper-level CHEM sections via a STEM grant proposal.</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A97135">
              <w:rPr>
                <w:sz w:val="24"/>
                <w:szCs w:val="24"/>
              </w:rPr>
              <w:t>Expect to hire within 3 years.</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1" w:name="Check1"/>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A97135" w:rsidP="005707F9">
            <w:pPr>
              <w:rPr>
                <w:sz w:val="24"/>
                <w:szCs w:val="24"/>
              </w:rPr>
            </w:pPr>
            <w:r>
              <w:rPr>
                <w:sz w:val="24"/>
                <w:szCs w:val="24"/>
              </w:rPr>
              <w:fldChar w:fldCharType="begin">
                <w:ffData>
                  <w:name w:val="Check2"/>
                  <w:enabled/>
                  <w:calcOnExit w:val="0"/>
                  <w:checkBox>
                    <w:sizeAuto/>
                    <w:default w:val="1"/>
                  </w:checkBox>
                </w:ffData>
              </w:fldChar>
            </w:r>
            <w:bookmarkStart w:id="2" w:name="Check2"/>
            <w:r>
              <w:rPr>
                <w:sz w:val="24"/>
                <w:szCs w:val="24"/>
              </w:rPr>
              <w:instrText xml:space="preserve"> FORMCHECKBOX </w:instrText>
            </w:r>
            <w:r>
              <w:rPr>
                <w:sz w:val="24"/>
                <w:szCs w:val="24"/>
              </w:rPr>
            </w:r>
            <w:r>
              <w:rPr>
                <w:sz w:val="24"/>
                <w:szCs w:val="24"/>
              </w:rPr>
              <w:fldChar w:fldCharType="end"/>
            </w:r>
            <w:bookmarkEnd w:id="2"/>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A97135" w:rsidP="005707F9">
            <w:pPr>
              <w:rPr>
                <w:sz w:val="24"/>
                <w:szCs w:val="24"/>
              </w:rPr>
            </w:pPr>
            <w:r>
              <w:rPr>
                <w:sz w:val="24"/>
                <w:szCs w:val="24"/>
              </w:rPr>
              <w:fldChar w:fldCharType="begin">
                <w:ffData>
                  <w:name w:val="Check3"/>
                  <w:enabled/>
                  <w:calcOnExit w:val="0"/>
                  <w:checkBox>
                    <w:sizeAuto/>
                    <w:default w:val="1"/>
                  </w:checkBox>
                </w:ffData>
              </w:fldChar>
            </w:r>
            <w:bookmarkStart w:id="3" w:name="Check3"/>
            <w:r>
              <w:rPr>
                <w:sz w:val="24"/>
                <w:szCs w:val="24"/>
              </w:rPr>
              <w:instrText xml:space="preserve"> FORMCHECKBOX </w:instrText>
            </w:r>
            <w:r>
              <w:rPr>
                <w:sz w:val="24"/>
                <w:szCs w:val="24"/>
              </w:rPr>
            </w:r>
            <w:r>
              <w:rPr>
                <w:sz w:val="24"/>
                <w:szCs w:val="24"/>
              </w:rPr>
              <w:fldChar w:fldCharType="end"/>
            </w:r>
            <w:bookmarkEnd w:id="3"/>
            <w:r w:rsidR="006854CC" w:rsidRPr="005707F9">
              <w:rPr>
                <w:sz w:val="24"/>
                <w:szCs w:val="24"/>
              </w:rPr>
              <w:t xml:space="preserve"> C</w:t>
            </w:r>
            <w:r w:rsidR="006854CC">
              <w:rPr>
                <w:sz w:val="24"/>
                <w:szCs w:val="24"/>
              </w:rPr>
              <w:t>ategorical</w:t>
            </w:r>
          </w:p>
          <w:p w:rsidR="006854CC" w:rsidRPr="005707F9" w:rsidRDefault="006854CC" w:rsidP="00A9713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A97135">
              <w:rPr>
                <w:sz w:val="24"/>
                <w:szCs w:val="24"/>
              </w:rPr>
              <w:t>STEM grant</w:t>
            </w:r>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4" w:name="Check4"/>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A97135"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A97135">
            <w:pPr>
              <w:jc w:val="right"/>
              <w:rPr>
                <w:sz w:val="24"/>
                <w:szCs w:val="24"/>
              </w:rPr>
            </w:pPr>
            <w:r w:rsidRPr="005707F9">
              <w:rPr>
                <w:sz w:val="24"/>
                <w:szCs w:val="24"/>
              </w:rPr>
              <w:t>$</w:t>
            </w:r>
            <w:r w:rsidR="00A97135">
              <w:rPr>
                <w:sz w:val="24"/>
                <w:szCs w:val="24"/>
                <w:u w:val="single"/>
              </w:rPr>
              <w:t>80,000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716DC1">
              <w:rPr>
                <w:sz w:val="24"/>
                <w:szCs w:val="24"/>
              </w:rPr>
              <w:t>Increase hands-on learning situations in general science courses.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16DC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716DC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716DC1">
              <w:rPr>
                <w:sz w:val="24"/>
                <w:szCs w:val="24"/>
              </w:rPr>
              <w:t>Incorporate a laboratory component to ASTR 100.</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00716DC1">
              <w:rPr>
                <w:sz w:val="24"/>
                <w:szCs w:val="24"/>
              </w:rPr>
              <w:t>1) Find out which other schools have lab components for astronomy classes.</w:t>
            </w:r>
          </w:p>
          <w:p w:rsidR="00716DC1" w:rsidRDefault="00716DC1" w:rsidP="004A2B92">
            <w:pPr>
              <w:rPr>
                <w:sz w:val="24"/>
                <w:szCs w:val="24"/>
              </w:rPr>
            </w:pPr>
            <w:r>
              <w:rPr>
                <w:sz w:val="24"/>
                <w:szCs w:val="24"/>
              </w:rPr>
              <w:t xml:space="preserve">               2) Determine what equipment would be needed, cost of equipment and maintenance agreements.</w:t>
            </w:r>
          </w:p>
          <w:p w:rsidR="00716DC1" w:rsidRPr="00B30971" w:rsidRDefault="00716DC1" w:rsidP="004A2B92">
            <w:pPr>
              <w:rPr>
                <w:sz w:val="24"/>
                <w:szCs w:val="24"/>
              </w:rPr>
            </w:pPr>
            <w:r>
              <w:rPr>
                <w:sz w:val="24"/>
                <w:szCs w:val="24"/>
              </w:rPr>
              <w:t xml:space="preserve">               3) Make changes in curriculum to ASTR 100 to allow for lab component.</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716DC1">
              <w:rPr>
                <w:sz w:val="24"/>
                <w:szCs w:val="24"/>
              </w:rPr>
              <w:t xml:space="preserve">This would </w:t>
            </w:r>
            <w:r w:rsidR="00417017">
              <w:rPr>
                <w:sz w:val="24"/>
                <w:szCs w:val="24"/>
              </w:rPr>
              <w:t xml:space="preserve">be </w:t>
            </w:r>
            <w:r w:rsidR="00716DC1">
              <w:rPr>
                <w:sz w:val="24"/>
                <w:szCs w:val="24"/>
              </w:rPr>
              <w:t>expected to be completed within 3 years.</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D71CCE">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D71CC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D71CC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D71CCE">
            <w:pPr>
              <w:jc w:val="center"/>
              <w:rPr>
                <w:b/>
                <w:sz w:val="24"/>
                <w:szCs w:val="24"/>
              </w:rPr>
            </w:pPr>
            <w:r w:rsidRPr="00455861">
              <w:rPr>
                <w:b/>
                <w:sz w:val="24"/>
                <w:szCs w:val="24"/>
              </w:rPr>
              <w:t>RESOURCE PLAN</w:t>
            </w:r>
          </w:p>
          <w:p w:rsidR="006854CC" w:rsidRPr="00455861" w:rsidRDefault="006854CC" w:rsidP="00D71CCE">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D71CCE">
            <w:pPr>
              <w:jc w:val="center"/>
              <w:rPr>
                <w:b/>
                <w:sz w:val="24"/>
                <w:szCs w:val="24"/>
              </w:rPr>
            </w:pPr>
            <w:r w:rsidRPr="00455861">
              <w:rPr>
                <w:b/>
                <w:sz w:val="24"/>
                <w:szCs w:val="24"/>
              </w:rPr>
              <w:t>BUDGET REQUEST</w:t>
            </w:r>
          </w:p>
        </w:tc>
      </w:tr>
      <w:tr w:rsidR="006854CC" w:rsidTr="00D71CCE">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D71CCE">
            <w:pPr>
              <w:rPr>
                <w:sz w:val="24"/>
                <w:szCs w:val="24"/>
              </w:rPr>
            </w:pPr>
          </w:p>
          <w:p w:rsidR="006854CC" w:rsidRDefault="00716DC1" w:rsidP="00D71CC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D71CCE">
            <w:pPr>
              <w:rPr>
                <w:sz w:val="24"/>
                <w:szCs w:val="24"/>
              </w:rPr>
            </w:pPr>
          </w:p>
          <w:p w:rsidR="006854CC" w:rsidRPr="005707F9" w:rsidRDefault="006854CC" w:rsidP="00D71CC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D71CCE">
            <w:pPr>
              <w:rPr>
                <w:sz w:val="24"/>
                <w:szCs w:val="24"/>
              </w:rPr>
            </w:pPr>
          </w:p>
          <w:p w:rsidR="006854CC" w:rsidRDefault="006854CC"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D71CCE">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D71CCE">
            <w:pPr>
              <w:rPr>
                <w:sz w:val="24"/>
                <w:szCs w:val="24"/>
              </w:rPr>
            </w:pPr>
          </w:p>
          <w:p w:rsidR="006854CC" w:rsidRPr="005707F9" w:rsidRDefault="00716DC1" w:rsidP="00D71CC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716DC1" w:rsidP="00D71CCE">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6854CC"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716DC1">
            <w:pPr>
              <w:jc w:val="right"/>
              <w:rPr>
                <w:sz w:val="24"/>
                <w:szCs w:val="24"/>
              </w:rPr>
            </w:pPr>
            <w:r w:rsidRPr="005707F9">
              <w:rPr>
                <w:sz w:val="24"/>
                <w:szCs w:val="24"/>
              </w:rPr>
              <w:t>$</w:t>
            </w:r>
            <w:r w:rsidR="00716DC1">
              <w:rPr>
                <w:sz w:val="24"/>
                <w:szCs w:val="24"/>
                <w:u w:val="single"/>
              </w:rPr>
              <w:t>20,000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716DC1">
              <w:rPr>
                <w:sz w:val="24"/>
                <w:szCs w:val="24"/>
              </w:rPr>
              <w:t>Consistency in education among multiple sections of the same course.</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16DC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716DC1">
              <w:rPr>
                <w:sz w:val="24"/>
                <w:szCs w:val="24"/>
              </w:rPr>
              <w:t>Improved coordination and consistency of the level of instruction for the different sections of PHSC 110 taught by the different instructors.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00716DC1">
              <w:rPr>
                <w:sz w:val="24"/>
                <w:szCs w:val="24"/>
              </w:rPr>
              <w:t xml:space="preserve">1) Instructors should share class schedules, assessments, </w:t>
            </w:r>
            <w:proofErr w:type="spellStart"/>
            <w:r w:rsidR="00716DC1">
              <w:rPr>
                <w:sz w:val="24"/>
                <w:szCs w:val="24"/>
              </w:rPr>
              <w:t>etc</w:t>
            </w:r>
            <w:proofErr w:type="spellEnd"/>
            <w:r w:rsidR="00716DC1">
              <w:rPr>
                <w:sz w:val="24"/>
                <w:szCs w:val="24"/>
              </w:rPr>
              <w:t xml:space="preserve"> to examine similarities and differences.</w:t>
            </w:r>
          </w:p>
          <w:p w:rsidR="00716DC1" w:rsidRDefault="00716DC1" w:rsidP="004A2B92">
            <w:pPr>
              <w:rPr>
                <w:sz w:val="24"/>
                <w:szCs w:val="24"/>
              </w:rPr>
            </w:pPr>
            <w:r>
              <w:rPr>
                <w:sz w:val="24"/>
                <w:szCs w:val="24"/>
              </w:rPr>
              <w:t xml:space="preserve">               2) Student grade distributions should be examined for different sections to see what differences exist in student success.</w:t>
            </w:r>
          </w:p>
          <w:p w:rsidR="00716DC1" w:rsidRPr="00B30971" w:rsidRDefault="00716DC1" w:rsidP="004A2B92">
            <w:pPr>
              <w:rPr>
                <w:sz w:val="24"/>
                <w:szCs w:val="24"/>
              </w:rPr>
            </w:pPr>
            <w:r>
              <w:rPr>
                <w:sz w:val="24"/>
                <w:szCs w:val="24"/>
              </w:rPr>
              <w:t xml:space="preserve">              3) Faculty work together to have more consistently structured classes.</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716DC1">
              <w:rPr>
                <w:sz w:val="24"/>
                <w:szCs w:val="24"/>
              </w:rPr>
              <w:t>This would be expected to be completed within 3 years.</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D71CCE">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D71CC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D71CC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D71CCE">
            <w:pPr>
              <w:jc w:val="center"/>
              <w:rPr>
                <w:b/>
                <w:sz w:val="24"/>
                <w:szCs w:val="24"/>
              </w:rPr>
            </w:pPr>
            <w:r w:rsidRPr="00455861">
              <w:rPr>
                <w:b/>
                <w:sz w:val="24"/>
                <w:szCs w:val="24"/>
              </w:rPr>
              <w:t>RESOURCE PLAN</w:t>
            </w:r>
          </w:p>
          <w:p w:rsidR="00F84054" w:rsidRPr="00455861" w:rsidRDefault="00F84054" w:rsidP="00D71CCE">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D71CCE">
            <w:pPr>
              <w:jc w:val="center"/>
              <w:rPr>
                <w:b/>
                <w:sz w:val="24"/>
                <w:szCs w:val="24"/>
              </w:rPr>
            </w:pPr>
            <w:r w:rsidRPr="00455861">
              <w:rPr>
                <w:b/>
                <w:sz w:val="24"/>
                <w:szCs w:val="24"/>
              </w:rPr>
              <w:t>BUDGET REQUEST</w:t>
            </w:r>
          </w:p>
        </w:tc>
      </w:tr>
      <w:tr w:rsidR="00F84054" w:rsidTr="00D71CCE">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D71CCE">
            <w:pPr>
              <w:rPr>
                <w:sz w:val="24"/>
                <w:szCs w:val="24"/>
              </w:rPr>
            </w:pPr>
          </w:p>
          <w:p w:rsidR="00F84054" w:rsidRDefault="00F84054" w:rsidP="00D71CC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D71CCE">
            <w:pPr>
              <w:rPr>
                <w:sz w:val="24"/>
                <w:szCs w:val="24"/>
              </w:rPr>
            </w:pPr>
          </w:p>
          <w:p w:rsidR="00F84054" w:rsidRPr="005707F9" w:rsidRDefault="00F84054" w:rsidP="00D71CC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D71CCE">
            <w:pPr>
              <w:rPr>
                <w:sz w:val="24"/>
                <w:szCs w:val="24"/>
              </w:rPr>
            </w:pPr>
          </w:p>
          <w:p w:rsidR="00F84054" w:rsidRDefault="00F84054"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D71CCE">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D71CCE">
            <w:pPr>
              <w:rPr>
                <w:sz w:val="24"/>
                <w:szCs w:val="24"/>
              </w:rPr>
            </w:pPr>
          </w:p>
          <w:p w:rsidR="00F84054" w:rsidRPr="005707F9" w:rsidRDefault="00F84054" w:rsidP="00D71CCE">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D71CC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716DC1">
            <w:pPr>
              <w:jc w:val="right"/>
              <w:rPr>
                <w:sz w:val="24"/>
                <w:szCs w:val="24"/>
              </w:rPr>
            </w:pPr>
            <w:r w:rsidRPr="005707F9">
              <w:rPr>
                <w:sz w:val="24"/>
                <w:szCs w:val="24"/>
              </w:rPr>
              <w:t>$</w:t>
            </w:r>
            <w:r w:rsidR="00716DC1">
              <w:rPr>
                <w:sz w:val="24"/>
                <w:szCs w:val="24"/>
                <w:u w:val="single"/>
              </w:rPr>
              <w:t>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716DC1">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716DC1">
              <w:rPr>
                <w:sz w:val="32"/>
                <w:szCs w:val="32"/>
                <w:u w:val="single"/>
              </w:rPr>
              <w:t>100,000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716DC1" w:rsidP="00B7252F">
      <w:pPr>
        <w:pStyle w:val="ListParagraph"/>
        <w:spacing w:after="0" w:line="240" w:lineRule="auto"/>
        <w:ind w:left="1080" w:firstLine="360"/>
        <w:rPr>
          <w:sz w:val="24"/>
          <w:szCs w:val="24"/>
        </w:rPr>
      </w:pPr>
      <w:r>
        <w:rPr>
          <w:sz w:val="24"/>
          <w:szCs w:val="24"/>
        </w:rPr>
        <w:t>The budget requests will improve student success by providing more opportunity to take high-demand, impacted classes, such as CHEM 100, allow IVC to offer CHEM 204 and CHEM 206, (which have not been offered in several years), and to allow for more hands-on learning in typically lecture-only classes</w:t>
      </w:r>
      <w:r w:rsidR="00D85393">
        <w:rPr>
          <w:sz w:val="24"/>
          <w:szCs w:val="24"/>
        </w:rPr>
        <w:t xml:space="preserve"> to help increase student success in the General Science courses.</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5"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5"/>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50D6D" w:rsidRDefault="004A2B92" w:rsidP="005E6467">
            <w:pPr>
              <w:rPr>
                <w:sz w:val="24"/>
                <w:szCs w:val="24"/>
              </w:rPr>
            </w:pPr>
            <w:r w:rsidRPr="00C15830">
              <w:rPr>
                <w:b/>
                <w:sz w:val="24"/>
                <w:szCs w:val="24"/>
              </w:rPr>
              <w:t xml:space="preserve">Identify Program Outcome: </w:t>
            </w:r>
            <w:r w:rsidR="00C50D6D">
              <w:rPr>
                <w:rFonts w:ascii="Arial" w:hAnsi="Arial" w:cs="Arial"/>
                <w:b/>
                <w:sz w:val="24"/>
                <w:szCs w:val="24"/>
              </w:rPr>
              <w:t xml:space="preserve">Demonstrate understanding of scientific inquiry.  Explain and apply the scientific method.  </w:t>
            </w:r>
          </w:p>
        </w:tc>
        <w:tc>
          <w:tcPr>
            <w:tcW w:w="2070" w:type="dxa"/>
            <w:vMerge w:val="restart"/>
            <w:tcBorders>
              <w:top w:val="single" w:sz="4" w:space="0" w:color="auto"/>
              <w:left w:val="single" w:sz="4" w:space="0" w:color="auto"/>
              <w:right w:val="single" w:sz="4" w:space="0" w:color="auto"/>
            </w:tcBorders>
          </w:tcPr>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1</w:t>
            </w:r>
          </w:p>
          <w:p w:rsidR="004A2B92" w:rsidRPr="003B17D4" w:rsidRDefault="00C50D6D"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C50D6D">
              <w:rPr>
                <w:sz w:val="24"/>
                <w:szCs w:val="24"/>
              </w:rPr>
              <w:t>23/32 students earned at 70% or better on an assignment monitoring earthquakes throughout the semester and interpreting their data in GEOL 120.</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C50D6D"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C50D6D">
              <w:rPr>
                <w:sz w:val="24"/>
                <w:szCs w:val="24"/>
              </w:rPr>
              <w:t>Students were successful at understanding the process of scientific inquiry and the scientific method.</w:t>
            </w: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50D6D" w:rsidRDefault="004A2B92" w:rsidP="004A2B92">
            <w:pPr>
              <w:rPr>
                <w:sz w:val="24"/>
                <w:szCs w:val="24"/>
              </w:rPr>
            </w:pPr>
            <w:r w:rsidRPr="00C15830">
              <w:rPr>
                <w:b/>
                <w:sz w:val="24"/>
                <w:szCs w:val="24"/>
              </w:rPr>
              <w:t xml:space="preserve">Identify Program Outcome: </w:t>
            </w:r>
            <w:r w:rsidR="00C50D6D">
              <w:rPr>
                <w:rFonts w:ascii="Arial" w:hAnsi="Arial" w:cs="Arial"/>
                <w:sz w:val="24"/>
                <w:szCs w:val="24"/>
              </w:rPr>
              <w:t>Demonstrate Lab Skills.  Provide experimental foundation for concepts introduced during lecture.  Develop quantitative and qualitative skills of data analysis and ability to observe, interpret, communicate and synthesize various types of information from diverse sources.</w:t>
            </w: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C50D6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C50D6D">
              <w:rPr>
                <w:sz w:val="24"/>
                <w:szCs w:val="24"/>
              </w:rPr>
              <w:t>In CHEM 100, students performed a titration lab to answer a question.  Between 77-83% of students were able to successfully answer the question.</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C50D6D"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C50D6D">
              <w:rPr>
                <w:sz w:val="24"/>
                <w:szCs w:val="24"/>
              </w:rPr>
              <w:t>The students were successful in their ability to analyze lab data.</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26611" w:rsidRDefault="004A2B92" w:rsidP="004A2B92">
            <w:pPr>
              <w:rPr>
                <w:sz w:val="24"/>
                <w:szCs w:val="24"/>
              </w:rPr>
            </w:pPr>
            <w:r w:rsidRPr="00C15830">
              <w:rPr>
                <w:b/>
                <w:sz w:val="24"/>
                <w:szCs w:val="24"/>
              </w:rPr>
              <w:t xml:space="preserve">Identify Program Outcome: </w:t>
            </w:r>
            <w:r w:rsidR="00C26611">
              <w:rPr>
                <w:rFonts w:ascii="Arial" w:hAnsi="Arial" w:cs="Arial"/>
                <w:sz w:val="24"/>
                <w:szCs w:val="24"/>
              </w:rPr>
              <w:t>Understand Earth’s Systems Interactions.  Develop an understanding and appreciation of the natural world and interactions between and among Earth’s systems (biosphere, hydrosphere, atmosphere, geosphere) and beyond (exosphere).</w:t>
            </w: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C26611"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C26611">
              <w:rPr>
                <w:sz w:val="24"/>
                <w:szCs w:val="24"/>
              </w:rPr>
              <w:t>In ASTR 100, students performed an exercise on lunar phases, and then given an exam question on positions of the Earth, Sun and Moon for different phases.  45% of students answered the question correctly.</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C26611"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C26611">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C26611">
              <w:rPr>
                <w:sz w:val="24"/>
                <w:szCs w:val="24"/>
              </w:rPr>
              <w:t>Instructors will share their data with other General Science instructors and develop ways to help reinforce these concepts to students.</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bl>
    <w:p w:rsidR="00417017" w:rsidRDefault="00417017">
      <w:r>
        <w:br w:type="page"/>
      </w:r>
    </w:p>
    <w:tbl>
      <w:tblPr>
        <w:tblStyle w:val="TableGrid"/>
        <w:tblW w:w="0" w:type="auto"/>
        <w:tblInd w:w="828" w:type="dxa"/>
        <w:tblLayout w:type="fixed"/>
        <w:tblLook w:val="04A0" w:firstRow="1" w:lastRow="0" w:firstColumn="1" w:lastColumn="0" w:noHBand="0" w:noVBand="1"/>
      </w:tblPr>
      <w:tblGrid>
        <w:gridCol w:w="1169"/>
        <w:gridCol w:w="9811"/>
        <w:gridCol w:w="2070"/>
      </w:tblGrid>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3"/>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tbl>
      <w:tblPr>
        <w:tblW w:w="11371" w:type="dxa"/>
        <w:jc w:val="center"/>
        <w:tblInd w:w="93" w:type="dxa"/>
        <w:tblLook w:val="04A0" w:firstRow="1" w:lastRow="0" w:firstColumn="1" w:lastColumn="0" w:noHBand="0" w:noVBand="1"/>
      </w:tblPr>
      <w:tblGrid>
        <w:gridCol w:w="1186"/>
        <w:gridCol w:w="23"/>
        <w:gridCol w:w="846"/>
        <w:gridCol w:w="31"/>
        <w:gridCol w:w="1044"/>
        <w:gridCol w:w="605"/>
        <w:gridCol w:w="303"/>
        <w:gridCol w:w="770"/>
        <w:gridCol w:w="416"/>
        <w:gridCol w:w="983"/>
        <w:gridCol w:w="1072"/>
        <w:gridCol w:w="1399"/>
        <w:gridCol w:w="1072"/>
        <w:gridCol w:w="1399"/>
        <w:gridCol w:w="222"/>
      </w:tblGrid>
      <w:tr w:rsidR="00C03A49" w:rsidRPr="00C03A49" w:rsidTr="00417017">
        <w:trPr>
          <w:trHeight w:val="300"/>
          <w:jc w:val="center"/>
        </w:trPr>
        <w:tc>
          <w:tcPr>
            <w:tcW w:w="1209" w:type="dxa"/>
            <w:gridSpan w:val="2"/>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c>
          <w:tcPr>
            <w:tcW w:w="1680" w:type="dxa"/>
            <w:gridSpan w:val="3"/>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c>
          <w:tcPr>
            <w:tcW w:w="7636" w:type="dxa"/>
            <w:gridSpan w:val="9"/>
            <w:tcBorders>
              <w:top w:val="nil"/>
              <w:left w:val="nil"/>
              <w:bottom w:val="nil"/>
              <w:right w:val="single" w:sz="4" w:space="0" w:color="000000"/>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Which SLO was assessed?</w:t>
            </w:r>
          </w:p>
        </w:tc>
      </w:tr>
      <w:tr w:rsidR="00C03A49" w:rsidRPr="00C03A49" w:rsidTr="00417017">
        <w:trPr>
          <w:trHeight w:val="315"/>
          <w:jc w:val="center"/>
        </w:trPr>
        <w:tc>
          <w:tcPr>
            <w:tcW w:w="1209" w:type="dxa"/>
            <w:gridSpan w:val="2"/>
            <w:tcBorders>
              <w:top w:val="nil"/>
              <w:left w:val="single" w:sz="4" w:space="0" w:color="auto"/>
              <w:bottom w:val="single" w:sz="12"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Course</w:t>
            </w:r>
          </w:p>
        </w:tc>
        <w:tc>
          <w:tcPr>
            <w:tcW w:w="846" w:type="dxa"/>
            <w:tcBorders>
              <w:top w:val="nil"/>
              <w:left w:val="nil"/>
              <w:bottom w:val="single" w:sz="12"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Credits</w:t>
            </w:r>
          </w:p>
        </w:tc>
        <w:tc>
          <w:tcPr>
            <w:tcW w:w="1680" w:type="dxa"/>
            <w:gridSpan w:val="3"/>
            <w:tcBorders>
              <w:top w:val="nil"/>
              <w:left w:val="nil"/>
              <w:bottom w:val="single" w:sz="12"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SLOs Identified</w:t>
            </w:r>
          </w:p>
        </w:tc>
        <w:tc>
          <w:tcPr>
            <w:tcW w:w="1073" w:type="dxa"/>
            <w:gridSpan w:val="2"/>
            <w:tcBorders>
              <w:top w:val="nil"/>
              <w:left w:val="single" w:sz="12" w:space="0" w:color="auto"/>
              <w:bottom w:val="single" w:sz="12"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Fall 2010</w:t>
            </w:r>
          </w:p>
        </w:tc>
        <w:tc>
          <w:tcPr>
            <w:tcW w:w="1399" w:type="dxa"/>
            <w:gridSpan w:val="2"/>
            <w:tcBorders>
              <w:top w:val="nil"/>
              <w:left w:val="nil"/>
              <w:bottom w:val="single" w:sz="12"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Spring 2011</w:t>
            </w:r>
          </w:p>
        </w:tc>
        <w:tc>
          <w:tcPr>
            <w:tcW w:w="1072" w:type="dxa"/>
            <w:tcBorders>
              <w:top w:val="nil"/>
              <w:left w:val="nil"/>
              <w:bottom w:val="single" w:sz="12"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Fall 2011</w:t>
            </w:r>
          </w:p>
        </w:tc>
        <w:tc>
          <w:tcPr>
            <w:tcW w:w="1399" w:type="dxa"/>
            <w:tcBorders>
              <w:top w:val="nil"/>
              <w:left w:val="nil"/>
              <w:bottom w:val="single" w:sz="12"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Spring 2012</w:t>
            </w:r>
          </w:p>
        </w:tc>
        <w:tc>
          <w:tcPr>
            <w:tcW w:w="1072" w:type="dxa"/>
            <w:tcBorders>
              <w:top w:val="nil"/>
              <w:left w:val="nil"/>
              <w:bottom w:val="single" w:sz="12"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Fall 2012</w:t>
            </w:r>
          </w:p>
        </w:tc>
        <w:tc>
          <w:tcPr>
            <w:tcW w:w="1399" w:type="dxa"/>
            <w:tcBorders>
              <w:top w:val="nil"/>
              <w:left w:val="nil"/>
              <w:bottom w:val="single" w:sz="12"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Spring 2013</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15"/>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ASTR100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73"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single" w:sz="4" w:space="0" w:color="auto"/>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BIOL100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2,3</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BIOL120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BIOL122</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BIOL140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73" w:type="dxa"/>
            <w:gridSpan w:val="2"/>
            <w:tcBorders>
              <w:top w:val="nil"/>
              <w:left w:val="single" w:sz="12" w:space="0" w:color="auto"/>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BIOL150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73" w:type="dxa"/>
            <w:gridSpan w:val="2"/>
            <w:tcBorders>
              <w:top w:val="nil"/>
              <w:left w:val="single" w:sz="12" w:space="0" w:color="auto"/>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BIOL180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399" w:type="dxa"/>
            <w:gridSpan w:val="2"/>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399"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1,4</w:t>
            </w:r>
          </w:p>
        </w:tc>
        <w:tc>
          <w:tcPr>
            <w:tcW w:w="1399" w:type="dxa"/>
            <w:tcBorders>
              <w:top w:val="nil"/>
              <w:left w:val="nil"/>
              <w:bottom w:val="single" w:sz="4" w:space="0" w:color="auto"/>
              <w:right w:val="nil"/>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BIOL182</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2,3</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BIOL200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BIOL202</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BIOL204</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BIOL206</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CHEM100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Yes</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1,3</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CHEM160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4,5</w:t>
            </w:r>
          </w:p>
        </w:tc>
        <w:tc>
          <w:tcPr>
            <w:tcW w:w="1399"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w:t>
            </w:r>
          </w:p>
        </w:tc>
        <w:tc>
          <w:tcPr>
            <w:tcW w:w="1399" w:type="dxa"/>
            <w:tcBorders>
              <w:top w:val="nil"/>
              <w:left w:val="nil"/>
              <w:bottom w:val="single" w:sz="4" w:space="0" w:color="auto"/>
              <w:right w:val="nil"/>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CHEM200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Yes</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CHEM202</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Yes</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1,3,4,5</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CHEM204</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CHEM206</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GEOL100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GEOL110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PHSC110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PHYS200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PHYS202</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w:t>
            </w:r>
          </w:p>
        </w:tc>
        <w:tc>
          <w:tcPr>
            <w:tcW w:w="1399" w:type="dxa"/>
            <w:gridSpan w:val="2"/>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1399"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1399" w:type="dxa"/>
            <w:tcBorders>
              <w:top w:val="nil"/>
              <w:left w:val="nil"/>
              <w:bottom w:val="single" w:sz="4" w:space="0" w:color="auto"/>
              <w:right w:val="nil"/>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PHYS204</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2,3,4,5</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2,3,4,5</w:t>
            </w:r>
          </w:p>
        </w:tc>
        <w:tc>
          <w:tcPr>
            <w:tcW w:w="1072" w:type="dxa"/>
            <w:tcBorders>
              <w:top w:val="nil"/>
              <w:left w:val="nil"/>
              <w:bottom w:val="single" w:sz="4" w:space="0" w:color="auto"/>
              <w:right w:val="single" w:sz="4" w:space="0" w:color="auto"/>
            </w:tcBorders>
            <w:shd w:val="clear" w:color="000000" w:fill="D9D9D9"/>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1,2,3,4,5</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CS 220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3,4</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lastRenderedPageBreak/>
              <w:t>MATH 190</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nil"/>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3,4</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MATH 192</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4,5</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trHeight w:val="300"/>
          <w:jc w:val="center"/>
        </w:trPr>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MATH 194</w:t>
            </w:r>
          </w:p>
        </w:tc>
        <w:tc>
          <w:tcPr>
            <w:tcW w:w="846"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5</w:t>
            </w:r>
          </w:p>
        </w:tc>
        <w:tc>
          <w:tcPr>
            <w:tcW w:w="1073" w:type="dxa"/>
            <w:gridSpan w:val="2"/>
            <w:tcBorders>
              <w:top w:val="nil"/>
              <w:left w:val="single" w:sz="12"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1,2</w:t>
            </w:r>
          </w:p>
        </w:tc>
        <w:tc>
          <w:tcPr>
            <w:tcW w:w="1072"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399" w:type="dxa"/>
            <w:tcBorders>
              <w:top w:val="nil"/>
              <w:left w:val="nil"/>
              <w:bottom w:val="single" w:sz="4" w:space="0" w:color="auto"/>
              <w:right w:val="nil"/>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4,5</w:t>
            </w:r>
          </w:p>
        </w:tc>
        <w:tc>
          <w:tcPr>
            <w:tcW w:w="222"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r>
      <w:tr w:rsidR="00C03A49" w:rsidRPr="00C03A49" w:rsidTr="00417017">
        <w:trPr>
          <w:gridAfter w:val="6"/>
          <w:wAfter w:w="6147" w:type="dxa"/>
          <w:trHeight w:val="300"/>
          <w:jc w:val="center"/>
        </w:trPr>
        <w:tc>
          <w:tcPr>
            <w:tcW w:w="1186" w:type="dxa"/>
            <w:tcBorders>
              <w:top w:val="nil"/>
              <w:left w:val="nil"/>
              <w:bottom w:val="nil"/>
              <w:right w:val="nil"/>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p>
        </w:tc>
        <w:tc>
          <w:tcPr>
            <w:tcW w:w="900" w:type="dxa"/>
            <w:gridSpan w:val="3"/>
            <w:tcBorders>
              <w:top w:val="nil"/>
              <w:left w:val="nil"/>
              <w:bottom w:val="nil"/>
              <w:right w:val="single" w:sz="12" w:space="0" w:color="auto"/>
            </w:tcBorders>
            <w:shd w:val="clear" w:color="auto" w:fill="auto"/>
            <w:noWrap/>
            <w:vAlign w:val="bottom"/>
            <w:hideMark/>
          </w:tcPr>
          <w:p w:rsidR="00C03A49" w:rsidRPr="00C03A49" w:rsidRDefault="00C03A49" w:rsidP="00C03A49">
            <w:pPr>
              <w:spacing w:after="0" w:line="240" w:lineRule="auto"/>
              <w:rPr>
                <w:rFonts w:ascii="Calibri" w:eastAsia="Times New Roman" w:hAnsi="Calibri" w:cs="Times New Roman"/>
                <w:color w:val="000000"/>
              </w:rPr>
            </w:pPr>
            <w:r w:rsidRPr="00C03A49">
              <w:rPr>
                <w:rFonts w:ascii="Calibri" w:eastAsia="Times New Roman" w:hAnsi="Calibri" w:cs="Times New Roman"/>
                <w:color w:val="000000"/>
              </w:rPr>
              <w:t> </w:t>
            </w:r>
          </w:p>
        </w:tc>
        <w:tc>
          <w:tcPr>
            <w:tcW w:w="3138" w:type="dxa"/>
            <w:gridSpan w:val="5"/>
            <w:tcBorders>
              <w:top w:val="nil"/>
              <w:left w:val="nil"/>
              <w:bottom w:val="single" w:sz="4" w:space="0" w:color="auto"/>
              <w:right w:val="nil"/>
            </w:tcBorders>
            <w:shd w:val="clear" w:color="auto" w:fill="auto"/>
            <w:noWrap/>
            <w:vAlign w:val="bottom"/>
            <w:hideMark/>
          </w:tcPr>
          <w:p w:rsidR="00417017" w:rsidRDefault="00417017" w:rsidP="00C03A49">
            <w:pPr>
              <w:spacing w:after="0" w:line="240" w:lineRule="auto"/>
              <w:jc w:val="center"/>
              <w:rPr>
                <w:rFonts w:ascii="Calibri" w:eastAsia="Times New Roman" w:hAnsi="Calibri" w:cs="Times New Roman"/>
                <w:b/>
                <w:color w:val="000000"/>
              </w:rPr>
            </w:pPr>
          </w:p>
          <w:p w:rsidR="00C03A49" w:rsidRPr="00C03A49" w:rsidRDefault="00C03A49" w:rsidP="00C03A49">
            <w:pPr>
              <w:spacing w:after="0" w:line="240" w:lineRule="auto"/>
              <w:jc w:val="center"/>
              <w:rPr>
                <w:rFonts w:ascii="Calibri" w:eastAsia="Times New Roman" w:hAnsi="Calibri" w:cs="Times New Roman"/>
                <w:color w:val="000000"/>
              </w:rPr>
            </w:pPr>
            <w:r w:rsidRPr="00417017">
              <w:rPr>
                <w:rFonts w:ascii="Calibri" w:eastAsia="Times New Roman" w:hAnsi="Calibri" w:cs="Times New Roman"/>
                <w:b/>
                <w:color w:val="000000"/>
              </w:rPr>
              <w:t>Which PLO was assessed</w:t>
            </w:r>
            <w:r w:rsidRPr="00C03A49">
              <w:rPr>
                <w:rFonts w:ascii="Calibri" w:eastAsia="Times New Roman" w:hAnsi="Calibri" w:cs="Times New Roman"/>
                <w:color w:val="000000"/>
              </w:rPr>
              <w:t>?</w:t>
            </w:r>
          </w:p>
        </w:tc>
      </w:tr>
      <w:tr w:rsidR="00C03A49" w:rsidRPr="00C03A49" w:rsidTr="00417017">
        <w:trPr>
          <w:gridAfter w:val="6"/>
          <w:wAfter w:w="6147" w:type="dxa"/>
          <w:trHeight w:val="315"/>
          <w:jc w:val="center"/>
        </w:trPr>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Program</w:t>
            </w:r>
          </w:p>
        </w:tc>
        <w:tc>
          <w:tcPr>
            <w:tcW w:w="900" w:type="dxa"/>
            <w:gridSpan w:val="3"/>
            <w:tcBorders>
              <w:top w:val="single" w:sz="4" w:space="0" w:color="auto"/>
              <w:left w:val="nil"/>
              <w:bottom w:val="single" w:sz="4" w:space="0" w:color="auto"/>
              <w:right w:val="single" w:sz="12"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PLOs</w:t>
            </w:r>
          </w:p>
        </w:tc>
        <w:tc>
          <w:tcPr>
            <w:tcW w:w="1044"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Spring 2012</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Fall 2012</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Spring 2013</w:t>
            </w:r>
          </w:p>
        </w:tc>
      </w:tr>
      <w:tr w:rsidR="00C03A49" w:rsidRPr="00C03A49" w:rsidTr="00417017">
        <w:trPr>
          <w:gridAfter w:val="6"/>
          <w:wAfter w:w="6147" w:type="dxa"/>
          <w:trHeight w:val="315"/>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xml:space="preserve">Gen </w:t>
            </w:r>
            <w:proofErr w:type="spellStart"/>
            <w:r w:rsidRPr="00C03A49">
              <w:rPr>
                <w:rFonts w:ascii="Calibri" w:eastAsia="Times New Roman" w:hAnsi="Calibri" w:cs="Times New Roman"/>
                <w:color w:val="000000"/>
              </w:rPr>
              <w:t>Sci</w:t>
            </w:r>
            <w:proofErr w:type="spellEnd"/>
          </w:p>
        </w:tc>
        <w:tc>
          <w:tcPr>
            <w:tcW w:w="900" w:type="dxa"/>
            <w:gridSpan w:val="3"/>
            <w:tcBorders>
              <w:top w:val="nil"/>
              <w:left w:val="nil"/>
              <w:bottom w:val="single" w:sz="4" w:space="0" w:color="auto"/>
              <w:right w:val="single" w:sz="12"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3</w:t>
            </w:r>
          </w:p>
        </w:tc>
        <w:tc>
          <w:tcPr>
            <w:tcW w:w="1044" w:type="dxa"/>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1</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C03A49" w:rsidRPr="00C03A49" w:rsidRDefault="00C03A49" w:rsidP="00C03A49">
            <w:pPr>
              <w:spacing w:after="0" w:line="240" w:lineRule="auto"/>
              <w:jc w:val="center"/>
              <w:rPr>
                <w:rFonts w:ascii="Calibri" w:eastAsia="Times New Roman" w:hAnsi="Calibri" w:cs="Times New Roman"/>
                <w:color w:val="000000"/>
              </w:rPr>
            </w:pPr>
            <w:r w:rsidRPr="00C03A49">
              <w:rPr>
                <w:rFonts w:ascii="Calibri" w:eastAsia="Times New Roman" w:hAnsi="Calibri" w:cs="Times New Roman"/>
                <w:color w:val="000000"/>
              </w:rPr>
              <w:t>2,3</w:t>
            </w:r>
          </w:p>
        </w:tc>
      </w:tr>
    </w:tbl>
    <w:p w:rsidR="00C03A49" w:rsidRDefault="00C03A49" w:rsidP="005B59C1">
      <w:pPr>
        <w:spacing w:after="0" w:line="240" w:lineRule="auto"/>
        <w:rPr>
          <w:b/>
          <w:sz w:val="32"/>
          <w:szCs w:val="32"/>
        </w:rPr>
      </w:pPr>
    </w:p>
    <w:sectPr w:rsidR="00C03A49" w:rsidSect="00AD4987">
      <w:footerReference w:type="default" r:id="rId16"/>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D5" w:rsidRDefault="006173D5" w:rsidP="00C269D2">
      <w:pPr>
        <w:spacing w:after="0" w:line="240" w:lineRule="auto"/>
      </w:pPr>
      <w:r>
        <w:separator/>
      </w:r>
    </w:p>
  </w:endnote>
  <w:endnote w:type="continuationSeparator" w:id="0">
    <w:p w:rsidR="006173D5" w:rsidRDefault="006173D5"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5" w:rsidRDefault="006173D5">
    <w:pPr>
      <w:pStyle w:val="Footer"/>
      <w:rPr>
        <w:color w:val="000000" w:themeColor="text1"/>
        <w:sz w:val="24"/>
        <w:szCs w:val="24"/>
      </w:rPr>
    </w:pPr>
    <w:r>
      <w:rPr>
        <w:color w:val="000000" w:themeColor="text1"/>
        <w:sz w:val="24"/>
        <w:szCs w:val="24"/>
      </w:rPr>
      <w:t>Academic Program Review</w:t>
    </w:r>
  </w:p>
  <w:p w:rsidR="006173D5" w:rsidRPr="002D5944" w:rsidRDefault="006173D5">
    <w:pPr>
      <w:pStyle w:val="Footer"/>
      <w:rPr>
        <w:color w:val="000000" w:themeColor="text1"/>
        <w:sz w:val="18"/>
        <w:szCs w:val="24"/>
      </w:rPr>
    </w:pPr>
    <w:r>
      <w:rPr>
        <w:color w:val="000000" w:themeColor="text1"/>
        <w:sz w:val="18"/>
        <w:szCs w:val="24"/>
      </w:rPr>
      <w:t>01/09/14</w:t>
    </w:r>
  </w:p>
  <w:p w:rsidR="006173D5" w:rsidRDefault="006173D5">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173D5" w:rsidRDefault="006173D5">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7017">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6173D5" w:rsidRDefault="006173D5">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17017">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D5" w:rsidRDefault="006173D5" w:rsidP="00C269D2">
      <w:pPr>
        <w:spacing w:after="0" w:line="240" w:lineRule="auto"/>
      </w:pPr>
      <w:r>
        <w:separator/>
      </w:r>
    </w:p>
  </w:footnote>
  <w:footnote w:type="continuationSeparator" w:id="0">
    <w:p w:rsidR="006173D5" w:rsidRDefault="006173D5"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7E16"/>
    <w:rsid w:val="00011C9E"/>
    <w:rsid w:val="000201D9"/>
    <w:rsid w:val="00027923"/>
    <w:rsid w:val="00033067"/>
    <w:rsid w:val="000403F6"/>
    <w:rsid w:val="00043E27"/>
    <w:rsid w:val="00046042"/>
    <w:rsid w:val="0005417A"/>
    <w:rsid w:val="00081A8E"/>
    <w:rsid w:val="00085642"/>
    <w:rsid w:val="000A2181"/>
    <w:rsid w:val="000A56FF"/>
    <w:rsid w:val="000C3BC9"/>
    <w:rsid w:val="000D01C8"/>
    <w:rsid w:val="00110022"/>
    <w:rsid w:val="0013472B"/>
    <w:rsid w:val="00161A08"/>
    <w:rsid w:val="001824BF"/>
    <w:rsid w:val="001B0E63"/>
    <w:rsid w:val="001B3E09"/>
    <w:rsid w:val="001C0FA5"/>
    <w:rsid w:val="001C31AE"/>
    <w:rsid w:val="001C394F"/>
    <w:rsid w:val="001C4679"/>
    <w:rsid w:val="001E25D4"/>
    <w:rsid w:val="00211B80"/>
    <w:rsid w:val="002227FE"/>
    <w:rsid w:val="00223F78"/>
    <w:rsid w:val="0023193A"/>
    <w:rsid w:val="002423D1"/>
    <w:rsid w:val="002521F9"/>
    <w:rsid w:val="00257C76"/>
    <w:rsid w:val="00266594"/>
    <w:rsid w:val="00271A0B"/>
    <w:rsid w:val="0028431E"/>
    <w:rsid w:val="002D5944"/>
    <w:rsid w:val="002E2EEC"/>
    <w:rsid w:val="002F5CCA"/>
    <w:rsid w:val="003204B1"/>
    <w:rsid w:val="00354769"/>
    <w:rsid w:val="003648E7"/>
    <w:rsid w:val="00391312"/>
    <w:rsid w:val="0039232D"/>
    <w:rsid w:val="00396488"/>
    <w:rsid w:val="003A0610"/>
    <w:rsid w:val="003B17D4"/>
    <w:rsid w:val="003F7DA7"/>
    <w:rsid w:val="004111B8"/>
    <w:rsid w:val="00417017"/>
    <w:rsid w:val="004519FF"/>
    <w:rsid w:val="00455861"/>
    <w:rsid w:val="004578EE"/>
    <w:rsid w:val="004A2B92"/>
    <w:rsid w:val="004B7383"/>
    <w:rsid w:val="004C4E7F"/>
    <w:rsid w:val="004D4D45"/>
    <w:rsid w:val="004F1EA0"/>
    <w:rsid w:val="00541352"/>
    <w:rsid w:val="00555678"/>
    <w:rsid w:val="00556AD5"/>
    <w:rsid w:val="005707F9"/>
    <w:rsid w:val="0057128D"/>
    <w:rsid w:val="00594CC6"/>
    <w:rsid w:val="00597F48"/>
    <w:rsid w:val="005A6C4B"/>
    <w:rsid w:val="005B59C1"/>
    <w:rsid w:val="005B72F8"/>
    <w:rsid w:val="005C3A5A"/>
    <w:rsid w:val="005E6467"/>
    <w:rsid w:val="005F09EA"/>
    <w:rsid w:val="00603C62"/>
    <w:rsid w:val="006173D5"/>
    <w:rsid w:val="00621634"/>
    <w:rsid w:val="00641F0C"/>
    <w:rsid w:val="006454E3"/>
    <w:rsid w:val="00663719"/>
    <w:rsid w:val="00670782"/>
    <w:rsid w:val="006854CC"/>
    <w:rsid w:val="00691A49"/>
    <w:rsid w:val="0069501A"/>
    <w:rsid w:val="006B712B"/>
    <w:rsid w:val="006C664D"/>
    <w:rsid w:val="006C7590"/>
    <w:rsid w:val="006D1FC2"/>
    <w:rsid w:val="006D2FCF"/>
    <w:rsid w:val="006D4F29"/>
    <w:rsid w:val="00700A8A"/>
    <w:rsid w:val="0071593B"/>
    <w:rsid w:val="00716DC1"/>
    <w:rsid w:val="007250CF"/>
    <w:rsid w:val="00725D31"/>
    <w:rsid w:val="007440FF"/>
    <w:rsid w:val="0079256B"/>
    <w:rsid w:val="00796559"/>
    <w:rsid w:val="007B6E52"/>
    <w:rsid w:val="007D1955"/>
    <w:rsid w:val="007E4294"/>
    <w:rsid w:val="007F00B5"/>
    <w:rsid w:val="007F1BF9"/>
    <w:rsid w:val="00827180"/>
    <w:rsid w:val="00845E03"/>
    <w:rsid w:val="00845F64"/>
    <w:rsid w:val="00847A17"/>
    <w:rsid w:val="0085021D"/>
    <w:rsid w:val="00875F92"/>
    <w:rsid w:val="00884DB9"/>
    <w:rsid w:val="00885966"/>
    <w:rsid w:val="008A48AC"/>
    <w:rsid w:val="008E543E"/>
    <w:rsid w:val="008E6322"/>
    <w:rsid w:val="008F1519"/>
    <w:rsid w:val="008F6DD3"/>
    <w:rsid w:val="0094250C"/>
    <w:rsid w:val="00944407"/>
    <w:rsid w:val="00946D62"/>
    <w:rsid w:val="0097680B"/>
    <w:rsid w:val="00987B31"/>
    <w:rsid w:val="009968E8"/>
    <w:rsid w:val="009A1ADE"/>
    <w:rsid w:val="009B364F"/>
    <w:rsid w:val="009D3A48"/>
    <w:rsid w:val="009F08F0"/>
    <w:rsid w:val="00A2467D"/>
    <w:rsid w:val="00A257C2"/>
    <w:rsid w:val="00A95A5F"/>
    <w:rsid w:val="00A97135"/>
    <w:rsid w:val="00AD4987"/>
    <w:rsid w:val="00AE0185"/>
    <w:rsid w:val="00AE599F"/>
    <w:rsid w:val="00AE5C40"/>
    <w:rsid w:val="00AE5D09"/>
    <w:rsid w:val="00B05E52"/>
    <w:rsid w:val="00B221A1"/>
    <w:rsid w:val="00B25FA2"/>
    <w:rsid w:val="00B26C45"/>
    <w:rsid w:val="00B30971"/>
    <w:rsid w:val="00B7127A"/>
    <w:rsid w:val="00B7252F"/>
    <w:rsid w:val="00B91965"/>
    <w:rsid w:val="00BA22FE"/>
    <w:rsid w:val="00BA2412"/>
    <w:rsid w:val="00BA2EC9"/>
    <w:rsid w:val="00BD2BA5"/>
    <w:rsid w:val="00BD5E72"/>
    <w:rsid w:val="00BF037A"/>
    <w:rsid w:val="00C03A49"/>
    <w:rsid w:val="00C059EE"/>
    <w:rsid w:val="00C0717C"/>
    <w:rsid w:val="00C15830"/>
    <w:rsid w:val="00C26611"/>
    <w:rsid w:val="00C269D2"/>
    <w:rsid w:val="00C32B0F"/>
    <w:rsid w:val="00C50D6D"/>
    <w:rsid w:val="00C521EC"/>
    <w:rsid w:val="00C61A1E"/>
    <w:rsid w:val="00C9513F"/>
    <w:rsid w:val="00CC5AEE"/>
    <w:rsid w:val="00CD76AB"/>
    <w:rsid w:val="00CE78BF"/>
    <w:rsid w:val="00CF1504"/>
    <w:rsid w:val="00D001FF"/>
    <w:rsid w:val="00D13C67"/>
    <w:rsid w:val="00D140DE"/>
    <w:rsid w:val="00D46DD5"/>
    <w:rsid w:val="00D6026F"/>
    <w:rsid w:val="00D67F65"/>
    <w:rsid w:val="00D7054E"/>
    <w:rsid w:val="00D71CCE"/>
    <w:rsid w:val="00D84502"/>
    <w:rsid w:val="00D847BE"/>
    <w:rsid w:val="00D85393"/>
    <w:rsid w:val="00D9584C"/>
    <w:rsid w:val="00D976AD"/>
    <w:rsid w:val="00DD6F85"/>
    <w:rsid w:val="00E364FB"/>
    <w:rsid w:val="00E63051"/>
    <w:rsid w:val="00E87BA0"/>
    <w:rsid w:val="00EF1EC8"/>
    <w:rsid w:val="00EF4BD8"/>
    <w:rsid w:val="00F072A5"/>
    <w:rsid w:val="00F174C8"/>
    <w:rsid w:val="00F60651"/>
    <w:rsid w:val="00F77F38"/>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753">
      <w:bodyDiv w:val="1"/>
      <w:marLeft w:val="0"/>
      <w:marRight w:val="0"/>
      <w:marTop w:val="0"/>
      <w:marBottom w:val="0"/>
      <w:divBdr>
        <w:top w:val="none" w:sz="0" w:space="0" w:color="auto"/>
        <w:left w:val="none" w:sz="0" w:space="0" w:color="auto"/>
        <w:bottom w:val="none" w:sz="0" w:space="0" w:color="auto"/>
        <w:right w:val="none" w:sz="0" w:space="0" w:color="auto"/>
      </w:divBdr>
    </w:div>
    <w:div w:id="49499481">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746729410">
      <w:bodyDiv w:val="1"/>
      <w:marLeft w:val="0"/>
      <w:marRight w:val="0"/>
      <w:marTop w:val="0"/>
      <w:marBottom w:val="0"/>
      <w:divBdr>
        <w:top w:val="none" w:sz="0" w:space="0" w:color="auto"/>
        <w:left w:val="none" w:sz="0" w:space="0" w:color="auto"/>
        <w:bottom w:val="none" w:sz="0" w:space="0" w:color="auto"/>
        <w:right w:val="none" w:sz="0" w:space="0" w:color="auto"/>
      </w:divBdr>
    </w:div>
    <w:div w:id="13598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General%20Science%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General%20Science%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General%20Science%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General%20Science%202013-14%20Program%20Review%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General%20Science%202013-14%20Program%20Review%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General%20Science%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1109494023527433"/>
          <c:y val="0.16368739621832984"/>
          <c:w val="0.87480938714436396"/>
          <c:h val="0.43273431942502522"/>
        </c:manualLayout>
      </c:layout>
      <c:barChart>
        <c:barDir val="col"/>
        <c:grouping val="clustered"/>
        <c:varyColors val="0"/>
        <c:ser>
          <c:idx val="0"/>
          <c:order val="0"/>
          <c:tx>
            <c:strRef>
              <c:f>'Enrollment and Fill'!$B$1</c:f>
              <c:strCache>
                <c:ptCount val="1"/>
                <c:pt idx="0">
                  <c:v>Enrollment Ave</c:v>
                </c:pt>
              </c:strCache>
            </c:strRef>
          </c:tx>
          <c:invertIfNegative val="0"/>
          <c:cat>
            <c:strRef>
              <c:f>'Enrollment and Fill'!$A$2:$A$32</c:f>
              <c:strCache>
                <c:ptCount val="31"/>
                <c:pt idx="0">
                  <c:v>ANTH 100</c:v>
                </c:pt>
                <c:pt idx="1">
                  <c:v>BIOL 100</c:v>
                </c:pt>
                <c:pt idx="2">
                  <c:v>BIOL 120</c:v>
                </c:pt>
                <c:pt idx="3">
                  <c:v>BIOL 122</c:v>
                </c:pt>
                <c:pt idx="4">
                  <c:v>BIOL 140</c:v>
                </c:pt>
                <c:pt idx="5">
                  <c:v>BIOL 150</c:v>
                </c:pt>
                <c:pt idx="6">
                  <c:v>BIOL 180</c:v>
                </c:pt>
                <c:pt idx="7">
                  <c:v>BIOL 182</c:v>
                </c:pt>
                <c:pt idx="8">
                  <c:v>ASTR 100</c:v>
                </c:pt>
                <c:pt idx="9">
                  <c:v>CHEM 100</c:v>
                </c:pt>
                <c:pt idx="10">
                  <c:v>CHEM 160</c:v>
                </c:pt>
                <c:pt idx="11">
                  <c:v>AG/ENVS 110</c:v>
                </c:pt>
                <c:pt idx="12">
                  <c:v>GEOG 100</c:v>
                </c:pt>
                <c:pt idx="13">
                  <c:v>GEOL 100</c:v>
                </c:pt>
                <c:pt idx="14">
                  <c:v>GEOL 110</c:v>
                </c:pt>
                <c:pt idx="15">
                  <c:v>PHSC 110</c:v>
                </c:pt>
                <c:pt idx="16">
                  <c:v>BIOL 200</c:v>
                </c:pt>
                <c:pt idx="17">
                  <c:v>BIOL 202</c:v>
                </c:pt>
                <c:pt idx="18">
                  <c:v>BIOL 204</c:v>
                </c:pt>
                <c:pt idx="19">
                  <c:v>BIOL 206</c:v>
                </c:pt>
                <c:pt idx="20">
                  <c:v>CHEM 200</c:v>
                </c:pt>
                <c:pt idx="21">
                  <c:v>CHEM 202</c:v>
                </c:pt>
                <c:pt idx="22">
                  <c:v>CHEM 204</c:v>
                </c:pt>
                <c:pt idx="23">
                  <c:v>CHEM 206</c:v>
                </c:pt>
                <c:pt idx="24">
                  <c:v>CS 220</c:v>
                </c:pt>
                <c:pt idx="25">
                  <c:v>MATH 190</c:v>
                </c:pt>
                <c:pt idx="26">
                  <c:v>MATH 192</c:v>
                </c:pt>
                <c:pt idx="27">
                  <c:v>MATH 194</c:v>
                </c:pt>
                <c:pt idx="28">
                  <c:v>PHYS 200</c:v>
                </c:pt>
                <c:pt idx="29">
                  <c:v>PHYS 202</c:v>
                </c:pt>
                <c:pt idx="30">
                  <c:v>PHYS 204</c:v>
                </c:pt>
              </c:strCache>
            </c:strRef>
          </c:cat>
          <c:val>
            <c:numRef>
              <c:f>'Enrollment and Fill'!$B$2:$B$32</c:f>
              <c:numCache>
                <c:formatCode>General</c:formatCode>
                <c:ptCount val="31"/>
                <c:pt idx="0">
                  <c:v>45</c:v>
                </c:pt>
                <c:pt idx="1">
                  <c:v>26.5</c:v>
                </c:pt>
                <c:pt idx="2">
                  <c:v>23</c:v>
                </c:pt>
                <c:pt idx="3">
                  <c:v>21</c:v>
                </c:pt>
                <c:pt idx="4">
                  <c:v>29.5</c:v>
                </c:pt>
                <c:pt idx="5">
                  <c:v>23</c:v>
                </c:pt>
                <c:pt idx="6">
                  <c:v>25</c:v>
                </c:pt>
                <c:pt idx="7">
                  <c:v>25.3</c:v>
                </c:pt>
                <c:pt idx="8">
                  <c:v>36.25</c:v>
                </c:pt>
                <c:pt idx="9">
                  <c:v>24.8</c:v>
                </c:pt>
                <c:pt idx="10">
                  <c:v>16</c:v>
                </c:pt>
                <c:pt idx="12">
                  <c:v>44.7</c:v>
                </c:pt>
                <c:pt idx="13">
                  <c:v>32</c:v>
                </c:pt>
                <c:pt idx="14">
                  <c:v>39.5</c:v>
                </c:pt>
                <c:pt idx="15">
                  <c:v>30.5</c:v>
                </c:pt>
                <c:pt idx="16">
                  <c:v>23</c:v>
                </c:pt>
                <c:pt idx="17">
                  <c:v>26</c:v>
                </c:pt>
                <c:pt idx="18">
                  <c:v>24</c:v>
                </c:pt>
                <c:pt idx="19">
                  <c:v>27</c:v>
                </c:pt>
                <c:pt idx="20">
                  <c:v>24.5</c:v>
                </c:pt>
                <c:pt idx="21">
                  <c:v>14.8</c:v>
                </c:pt>
                <c:pt idx="24">
                  <c:v>20.100000000000001</c:v>
                </c:pt>
                <c:pt idx="25">
                  <c:v>25.5</c:v>
                </c:pt>
                <c:pt idx="26">
                  <c:v>33.5</c:v>
                </c:pt>
                <c:pt idx="27">
                  <c:v>28.8</c:v>
                </c:pt>
                <c:pt idx="28">
                  <c:v>23.2</c:v>
                </c:pt>
                <c:pt idx="29">
                  <c:v>22.7</c:v>
                </c:pt>
                <c:pt idx="30">
                  <c:v>27</c:v>
                </c:pt>
              </c:numCache>
            </c:numRef>
          </c:val>
        </c:ser>
        <c:dLbls>
          <c:showLegendKey val="0"/>
          <c:showVal val="0"/>
          <c:showCatName val="0"/>
          <c:showSerName val="0"/>
          <c:showPercent val="0"/>
          <c:showBubbleSize val="0"/>
        </c:dLbls>
        <c:gapWidth val="150"/>
        <c:axId val="77272576"/>
        <c:axId val="77274112"/>
      </c:barChart>
      <c:catAx>
        <c:axId val="77272576"/>
        <c:scaling>
          <c:orientation val="minMax"/>
        </c:scaling>
        <c:delete val="0"/>
        <c:axPos val="b"/>
        <c:majorTickMark val="out"/>
        <c:minorTickMark val="none"/>
        <c:tickLblPos val="nextTo"/>
        <c:crossAx val="77274112"/>
        <c:crosses val="autoZero"/>
        <c:auto val="1"/>
        <c:lblAlgn val="ctr"/>
        <c:lblOffset val="100"/>
        <c:noMultiLvlLbl val="0"/>
      </c:catAx>
      <c:valAx>
        <c:axId val="77274112"/>
        <c:scaling>
          <c:orientation val="minMax"/>
          <c:min val="10"/>
        </c:scaling>
        <c:delete val="0"/>
        <c:axPos val="l"/>
        <c:majorGridlines/>
        <c:title>
          <c:tx>
            <c:rich>
              <a:bodyPr rot="-5400000" vert="horz"/>
              <a:lstStyle/>
              <a:p>
                <a:pPr>
                  <a:defRPr/>
                </a:pPr>
                <a:r>
                  <a:rPr lang="en-US"/>
                  <a:t>Ave # students enrolled per section</a:t>
                </a:r>
              </a:p>
            </c:rich>
          </c:tx>
          <c:layout/>
          <c:overlay val="0"/>
        </c:title>
        <c:numFmt formatCode="General" sourceLinked="1"/>
        <c:majorTickMark val="out"/>
        <c:minorTickMark val="none"/>
        <c:tickLblPos val="nextTo"/>
        <c:crossAx val="772725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5.5159460207660958E-2"/>
          <c:y val="0.1602069369427995"/>
          <c:w val="0.92525887535086149"/>
          <c:h val="0.46578859460749222"/>
        </c:manualLayout>
      </c:layout>
      <c:barChart>
        <c:barDir val="col"/>
        <c:grouping val="clustered"/>
        <c:varyColors val="0"/>
        <c:ser>
          <c:idx val="0"/>
          <c:order val="0"/>
          <c:tx>
            <c:strRef>
              <c:f>'Enrollment and Fill'!$D$1</c:f>
              <c:strCache>
                <c:ptCount val="1"/>
                <c:pt idx="0">
                  <c:v>Fill Rate %</c:v>
                </c:pt>
              </c:strCache>
            </c:strRef>
          </c:tx>
          <c:invertIfNegative val="0"/>
          <c:cat>
            <c:strRef>
              <c:f>'Enrollment and Fill'!$C$2:$C$32</c:f>
              <c:strCache>
                <c:ptCount val="31"/>
                <c:pt idx="0">
                  <c:v>ANTH 100</c:v>
                </c:pt>
                <c:pt idx="1">
                  <c:v>BIOL 100</c:v>
                </c:pt>
                <c:pt idx="2">
                  <c:v>BIOL 120</c:v>
                </c:pt>
                <c:pt idx="3">
                  <c:v>BIOL 122</c:v>
                </c:pt>
                <c:pt idx="4">
                  <c:v>BIOL 140</c:v>
                </c:pt>
                <c:pt idx="5">
                  <c:v>BIOL 150</c:v>
                </c:pt>
                <c:pt idx="6">
                  <c:v>BIOL 180</c:v>
                </c:pt>
                <c:pt idx="7">
                  <c:v>BIOL 182</c:v>
                </c:pt>
                <c:pt idx="8">
                  <c:v>ASTR 100</c:v>
                </c:pt>
                <c:pt idx="9">
                  <c:v>CHEM 100</c:v>
                </c:pt>
                <c:pt idx="10">
                  <c:v>CHEM 160</c:v>
                </c:pt>
                <c:pt idx="11">
                  <c:v>AG/ENVS 110</c:v>
                </c:pt>
                <c:pt idx="12">
                  <c:v>GEOG 100</c:v>
                </c:pt>
                <c:pt idx="13">
                  <c:v>GEOL 100</c:v>
                </c:pt>
                <c:pt idx="14">
                  <c:v>GEOL 110</c:v>
                </c:pt>
                <c:pt idx="15">
                  <c:v>PHSC 110</c:v>
                </c:pt>
                <c:pt idx="16">
                  <c:v>BIOL 200</c:v>
                </c:pt>
                <c:pt idx="17">
                  <c:v>BIOL 202</c:v>
                </c:pt>
                <c:pt idx="18">
                  <c:v>BIOL 204</c:v>
                </c:pt>
                <c:pt idx="19">
                  <c:v>BIOL 206</c:v>
                </c:pt>
                <c:pt idx="20">
                  <c:v>CHEM 200</c:v>
                </c:pt>
                <c:pt idx="21">
                  <c:v>CHEM 202</c:v>
                </c:pt>
                <c:pt idx="22">
                  <c:v>CHEM 204</c:v>
                </c:pt>
                <c:pt idx="23">
                  <c:v>CHEM 206</c:v>
                </c:pt>
                <c:pt idx="24">
                  <c:v>CS 220</c:v>
                </c:pt>
                <c:pt idx="25">
                  <c:v>MATH 190</c:v>
                </c:pt>
                <c:pt idx="26">
                  <c:v>MATH 192</c:v>
                </c:pt>
                <c:pt idx="27">
                  <c:v>MATH 194</c:v>
                </c:pt>
                <c:pt idx="28">
                  <c:v>PHYS 200</c:v>
                </c:pt>
                <c:pt idx="29">
                  <c:v>PHYS 202</c:v>
                </c:pt>
                <c:pt idx="30">
                  <c:v>PHYS 204</c:v>
                </c:pt>
              </c:strCache>
            </c:strRef>
          </c:cat>
          <c:val>
            <c:numRef>
              <c:f>'Enrollment and Fill'!$D$2:$D$32</c:f>
              <c:numCache>
                <c:formatCode>General</c:formatCode>
                <c:ptCount val="31"/>
                <c:pt idx="0">
                  <c:v>113</c:v>
                </c:pt>
                <c:pt idx="1">
                  <c:v>106</c:v>
                </c:pt>
                <c:pt idx="2">
                  <c:v>92</c:v>
                </c:pt>
                <c:pt idx="3">
                  <c:v>84</c:v>
                </c:pt>
                <c:pt idx="4">
                  <c:v>84.3</c:v>
                </c:pt>
                <c:pt idx="5">
                  <c:v>92</c:v>
                </c:pt>
                <c:pt idx="6">
                  <c:v>100</c:v>
                </c:pt>
                <c:pt idx="7">
                  <c:v>101.2</c:v>
                </c:pt>
                <c:pt idx="8" formatCode="0.0">
                  <c:v>103.57142857142858</c:v>
                </c:pt>
                <c:pt idx="9">
                  <c:v>99.2</c:v>
                </c:pt>
                <c:pt idx="10">
                  <c:v>64</c:v>
                </c:pt>
                <c:pt idx="12" formatCode="0.0">
                  <c:v>111.75000000000001</c:v>
                </c:pt>
                <c:pt idx="13" formatCode="0.0">
                  <c:v>91.428571428571431</c:v>
                </c:pt>
                <c:pt idx="14" formatCode="0.0">
                  <c:v>112.85714285714286</c:v>
                </c:pt>
                <c:pt idx="15" formatCode="0.0">
                  <c:v>101.66666666666666</c:v>
                </c:pt>
                <c:pt idx="16">
                  <c:v>92</c:v>
                </c:pt>
                <c:pt idx="17">
                  <c:v>104</c:v>
                </c:pt>
                <c:pt idx="18">
                  <c:v>96</c:v>
                </c:pt>
                <c:pt idx="19">
                  <c:v>108</c:v>
                </c:pt>
                <c:pt idx="20">
                  <c:v>98</c:v>
                </c:pt>
                <c:pt idx="21">
                  <c:v>59.20000000000001</c:v>
                </c:pt>
                <c:pt idx="24" formatCode="0.0">
                  <c:v>83.75</c:v>
                </c:pt>
                <c:pt idx="25" formatCode="0.0">
                  <c:v>72.857142857142847</c:v>
                </c:pt>
                <c:pt idx="26" formatCode="0.0">
                  <c:v>95.714285714285722</c:v>
                </c:pt>
                <c:pt idx="27" formatCode="0.0">
                  <c:v>82.285714285714278</c:v>
                </c:pt>
                <c:pt idx="28">
                  <c:v>92.8</c:v>
                </c:pt>
                <c:pt idx="29">
                  <c:v>90.8</c:v>
                </c:pt>
                <c:pt idx="30">
                  <c:v>108</c:v>
                </c:pt>
              </c:numCache>
            </c:numRef>
          </c:val>
        </c:ser>
        <c:dLbls>
          <c:showLegendKey val="0"/>
          <c:showVal val="0"/>
          <c:showCatName val="0"/>
          <c:showSerName val="0"/>
          <c:showPercent val="0"/>
          <c:showBubbleSize val="0"/>
        </c:dLbls>
        <c:gapWidth val="150"/>
        <c:axId val="24386560"/>
        <c:axId val="24396544"/>
      </c:barChart>
      <c:catAx>
        <c:axId val="24386560"/>
        <c:scaling>
          <c:orientation val="minMax"/>
        </c:scaling>
        <c:delete val="0"/>
        <c:axPos val="b"/>
        <c:majorTickMark val="out"/>
        <c:minorTickMark val="none"/>
        <c:tickLblPos val="nextTo"/>
        <c:crossAx val="24396544"/>
        <c:crosses val="autoZero"/>
        <c:auto val="1"/>
        <c:lblAlgn val="ctr"/>
        <c:lblOffset val="100"/>
        <c:noMultiLvlLbl val="0"/>
      </c:catAx>
      <c:valAx>
        <c:axId val="24396544"/>
        <c:scaling>
          <c:orientation val="minMax"/>
          <c:min val="50"/>
        </c:scaling>
        <c:delete val="0"/>
        <c:axPos val="l"/>
        <c:majorGridlines/>
        <c:numFmt formatCode="General" sourceLinked="1"/>
        <c:majorTickMark val="out"/>
        <c:minorTickMark val="none"/>
        <c:tickLblPos val="nextTo"/>
        <c:crossAx val="243865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WSCH/FTEF for</a:t>
            </a:r>
            <a:r>
              <a:rPr lang="en-US" baseline="0"/>
              <a:t> Geography</a:t>
            </a:r>
            <a:endParaRPr lang="en-US"/>
          </a:p>
        </c:rich>
      </c:tx>
      <c:layout/>
      <c:overlay val="0"/>
    </c:title>
    <c:autoTitleDeleted val="0"/>
    <c:plotArea>
      <c:layout/>
      <c:barChart>
        <c:barDir val="col"/>
        <c:grouping val="clustered"/>
        <c:varyColors val="0"/>
        <c:ser>
          <c:idx val="0"/>
          <c:order val="0"/>
          <c:tx>
            <c:strRef>
              <c:f>WSCH!$B$2</c:f>
              <c:strCache>
                <c:ptCount val="1"/>
                <c:pt idx="0">
                  <c:v>WSCH/FTEF</c:v>
                </c:pt>
              </c:strCache>
            </c:strRef>
          </c:tx>
          <c:invertIfNegative val="0"/>
          <c:cat>
            <c:strRef>
              <c:f>WSCH!$A$3:$A$8</c:f>
              <c:strCache>
                <c:ptCount val="6"/>
                <c:pt idx="0">
                  <c:v>Fall 2010</c:v>
                </c:pt>
                <c:pt idx="1">
                  <c:v>Fall 2011</c:v>
                </c:pt>
                <c:pt idx="2">
                  <c:v>Fall 2012</c:v>
                </c:pt>
                <c:pt idx="3">
                  <c:v>Spring 2011</c:v>
                </c:pt>
                <c:pt idx="4">
                  <c:v>Spring 2012</c:v>
                </c:pt>
                <c:pt idx="5">
                  <c:v>Spring 2013</c:v>
                </c:pt>
              </c:strCache>
            </c:strRef>
          </c:cat>
          <c:val>
            <c:numRef>
              <c:f>WSCH!$B$3:$B$8</c:f>
              <c:numCache>
                <c:formatCode>General</c:formatCode>
                <c:ptCount val="6"/>
                <c:pt idx="0">
                  <c:v>694.17</c:v>
                </c:pt>
                <c:pt idx="1">
                  <c:v>745.17</c:v>
                </c:pt>
                <c:pt idx="2">
                  <c:v>544</c:v>
                </c:pt>
                <c:pt idx="3">
                  <c:v>733.83</c:v>
                </c:pt>
                <c:pt idx="4">
                  <c:v>663</c:v>
                </c:pt>
                <c:pt idx="5">
                  <c:v>374</c:v>
                </c:pt>
              </c:numCache>
            </c:numRef>
          </c:val>
        </c:ser>
        <c:dLbls>
          <c:showLegendKey val="0"/>
          <c:showVal val="0"/>
          <c:showCatName val="0"/>
          <c:showSerName val="0"/>
          <c:showPercent val="0"/>
          <c:showBubbleSize val="0"/>
        </c:dLbls>
        <c:gapWidth val="150"/>
        <c:axId val="24412160"/>
        <c:axId val="24413696"/>
      </c:barChart>
      <c:catAx>
        <c:axId val="24412160"/>
        <c:scaling>
          <c:orientation val="minMax"/>
        </c:scaling>
        <c:delete val="0"/>
        <c:axPos val="b"/>
        <c:majorTickMark val="out"/>
        <c:minorTickMark val="none"/>
        <c:tickLblPos val="nextTo"/>
        <c:txPr>
          <a:bodyPr rot="-5400000" vert="horz"/>
          <a:lstStyle/>
          <a:p>
            <a:pPr>
              <a:defRPr/>
            </a:pPr>
            <a:endParaRPr lang="en-US"/>
          </a:p>
        </c:txPr>
        <c:crossAx val="24413696"/>
        <c:crosses val="autoZero"/>
        <c:auto val="1"/>
        <c:lblAlgn val="ctr"/>
        <c:lblOffset val="100"/>
        <c:noMultiLvlLbl val="0"/>
      </c:catAx>
      <c:valAx>
        <c:axId val="24413696"/>
        <c:scaling>
          <c:orientation val="minMax"/>
          <c:min val="300"/>
        </c:scaling>
        <c:delete val="0"/>
        <c:axPos val="l"/>
        <c:majorGridlines/>
        <c:title>
          <c:tx>
            <c:rich>
              <a:bodyPr rot="-5400000" vert="horz"/>
              <a:lstStyle/>
              <a:p>
                <a:pPr>
                  <a:defRPr/>
                </a:pPr>
                <a:r>
                  <a:rPr lang="en-US"/>
                  <a:t>WSCH/FTEF</a:t>
                </a:r>
              </a:p>
            </c:rich>
          </c:tx>
          <c:layout/>
          <c:overlay val="0"/>
        </c:title>
        <c:numFmt formatCode="General" sourceLinked="1"/>
        <c:majorTickMark val="out"/>
        <c:minorTickMark val="none"/>
        <c:tickLblPos val="nextTo"/>
        <c:crossAx val="244121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WSCH/FTEF for Geology</a:t>
            </a:r>
          </a:p>
        </c:rich>
      </c:tx>
      <c:layout/>
      <c:overlay val="0"/>
    </c:title>
    <c:autoTitleDeleted val="0"/>
    <c:plotArea>
      <c:layout/>
      <c:barChart>
        <c:barDir val="col"/>
        <c:grouping val="clustered"/>
        <c:varyColors val="0"/>
        <c:ser>
          <c:idx val="0"/>
          <c:order val="0"/>
          <c:tx>
            <c:strRef>
              <c:f>WSCH!$B$11</c:f>
              <c:strCache>
                <c:ptCount val="1"/>
                <c:pt idx="0">
                  <c:v>WSCH/FTEF</c:v>
                </c:pt>
              </c:strCache>
            </c:strRef>
          </c:tx>
          <c:invertIfNegative val="0"/>
          <c:cat>
            <c:strRef>
              <c:f>WSCH!$A$12:$A$17</c:f>
              <c:strCache>
                <c:ptCount val="6"/>
                <c:pt idx="0">
                  <c:v>Fall 2010</c:v>
                </c:pt>
                <c:pt idx="1">
                  <c:v>Fall 2011</c:v>
                </c:pt>
                <c:pt idx="2">
                  <c:v>Fall 2012</c:v>
                </c:pt>
                <c:pt idx="3">
                  <c:v>Spring 2011</c:v>
                </c:pt>
                <c:pt idx="4">
                  <c:v>Spring 2012</c:v>
                </c:pt>
                <c:pt idx="5">
                  <c:v>Spring 2013</c:v>
                </c:pt>
              </c:strCache>
            </c:strRef>
          </c:cat>
          <c:val>
            <c:numRef>
              <c:f>WSCH!$B$12:$B$17</c:f>
              <c:numCache>
                <c:formatCode>General</c:formatCode>
                <c:ptCount val="6"/>
                <c:pt idx="0">
                  <c:v>629</c:v>
                </c:pt>
                <c:pt idx="1">
                  <c:v>523.6</c:v>
                </c:pt>
                <c:pt idx="2">
                  <c:v>540.6</c:v>
                </c:pt>
                <c:pt idx="3">
                  <c:v>527</c:v>
                </c:pt>
                <c:pt idx="4">
                  <c:v>452.2</c:v>
                </c:pt>
                <c:pt idx="5">
                  <c:v>412.25</c:v>
                </c:pt>
              </c:numCache>
            </c:numRef>
          </c:val>
        </c:ser>
        <c:dLbls>
          <c:showLegendKey val="0"/>
          <c:showVal val="0"/>
          <c:showCatName val="0"/>
          <c:showSerName val="0"/>
          <c:showPercent val="0"/>
          <c:showBubbleSize val="0"/>
        </c:dLbls>
        <c:gapWidth val="150"/>
        <c:axId val="78255616"/>
        <c:axId val="78257152"/>
      </c:barChart>
      <c:catAx>
        <c:axId val="78255616"/>
        <c:scaling>
          <c:orientation val="minMax"/>
        </c:scaling>
        <c:delete val="0"/>
        <c:axPos val="b"/>
        <c:majorTickMark val="out"/>
        <c:minorTickMark val="none"/>
        <c:tickLblPos val="nextTo"/>
        <c:txPr>
          <a:bodyPr rot="-5400000" vert="horz"/>
          <a:lstStyle/>
          <a:p>
            <a:pPr>
              <a:defRPr/>
            </a:pPr>
            <a:endParaRPr lang="en-US"/>
          </a:p>
        </c:txPr>
        <c:crossAx val="78257152"/>
        <c:crosses val="autoZero"/>
        <c:auto val="1"/>
        <c:lblAlgn val="ctr"/>
        <c:lblOffset val="100"/>
        <c:noMultiLvlLbl val="0"/>
      </c:catAx>
      <c:valAx>
        <c:axId val="78257152"/>
        <c:scaling>
          <c:orientation val="minMax"/>
          <c:max val="800"/>
          <c:min val="300"/>
        </c:scaling>
        <c:delete val="0"/>
        <c:axPos val="l"/>
        <c:majorGridlines/>
        <c:title>
          <c:tx>
            <c:rich>
              <a:bodyPr rot="-5400000" vert="horz"/>
              <a:lstStyle/>
              <a:p>
                <a:pPr>
                  <a:defRPr/>
                </a:pPr>
                <a:r>
                  <a:rPr lang="en-US"/>
                  <a:t>WSCH/FTEF</a:t>
                </a:r>
              </a:p>
            </c:rich>
          </c:tx>
          <c:layout/>
          <c:overlay val="0"/>
        </c:title>
        <c:numFmt formatCode="General" sourceLinked="1"/>
        <c:majorTickMark val="out"/>
        <c:minorTickMark val="none"/>
        <c:tickLblPos val="nextTo"/>
        <c:crossAx val="782556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Geography Success</a:t>
            </a:r>
            <a:r>
              <a:rPr lang="en-US" baseline="0"/>
              <a:t> and Retention for Ethnicities</a:t>
            </a:r>
            <a:endParaRPr lang="en-US"/>
          </a:p>
        </c:rich>
      </c:tx>
      <c:layout/>
      <c:overlay val="0"/>
    </c:title>
    <c:autoTitleDeleted val="0"/>
    <c:plotArea>
      <c:layout>
        <c:manualLayout>
          <c:layoutTarget val="inner"/>
          <c:xMode val="edge"/>
          <c:yMode val="edge"/>
          <c:x val="0.18216707204793117"/>
          <c:y val="0.25487277631962674"/>
          <c:w val="0.66115569778376637"/>
          <c:h val="0.53097586759988336"/>
        </c:manualLayout>
      </c:layout>
      <c:barChart>
        <c:barDir val="col"/>
        <c:grouping val="clustered"/>
        <c:varyColors val="0"/>
        <c:ser>
          <c:idx val="0"/>
          <c:order val="0"/>
          <c:tx>
            <c:strRef>
              <c:f>Ethnicity!$C$20</c:f>
              <c:strCache>
                <c:ptCount val="1"/>
                <c:pt idx="0">
                  <c:v>Success</c:v>
                </c:pt>
              </c:strCache>
            </c:strRef>
          </c:tx>
          <c:invertIfNegative val="0"/>
          <c:cat>
            <c:strRef>
              <c:f>Ethnicity!$B$21:$B$25</c:f>
              <c:strCache>
                <c:ptCount val="5"/>
                <c:pt idx="0">
                  <c:v>AA</c:v>
                </c:pt>
                <c:pt idx="1">
                  <c:v>White</c:v>
                </c:pt>
                <c:pt idx="2">
                  <c:v>Hisp</c:v>
                </c:pt>
                <c:pt idx="3">
                  <c:v>Other</c:v>
                </c:pt>
                <c:pt idx="4">
                  <c:v>UNK</c:v>
                </c:pt>
              </c:strCache>
            </c:strRef>
          </c:cat>
          <c:val>
            <c:numRef>
              <c:f>Ethnicity!$C$21:$C$25</c:f>
              <c:numCache>
                <c:formatCode>General</c:formatCode>
                <c:ptCount val="5"/>
                <c:pt idx="0">
                  <c:v>60</c:v>
                </c:pt>
                <c:pt idx="1">
                  <c:v>71</c:v>
                </c:pt>
                <c:pt idx="2">
                  <c:v>56.4</c:v>
                </c:pt>
                <c:pt idx="3">
                  <c:v>100</c:v>
                </c:pt>
                <c:pt idx="4">
                  <c:v>73</c:v>
                </c:pt>
              </c:numCache>
            </c:numRef>
          </c:val>
        </c:ser>
        <c:ser>
          <c:idx val="1"/>
          <c:order val="1"/>
          <c:tx>
            <c:strRef>
              <c:f>Ethnicity!$D$20</c:f>
              <c:strCache>
                <c:ptCount val="1"/>
                <c:pt idx="0">
                  <c:v>Retention</c:v>
                </c:pt>
              </c:strCache>
            </c:strRef>
          </c:tx>
          <c:invertIfNegative val="0"/>
          <c:cat>
            <c:strRef>
              <c:f>Ethnicity!$B$21:$B$25</c:f>
              <c:strCache>
                <c:ptCount val="5"/>
                <c:pt idx="0">
                  <c:v>AA</c:v>
                </c:pt>
                <c:pt idx="1">
                  <c:v>White</c:v>
                </c:pt>
                <c:pt idx="2">
                  <c:v>Hisp</c:v>
                </c:pt>
                <c:pt idx="3">
                  <c:v>Other</c:v>
                </c:pt>
                <c:pt idx="4">
                  <c:v>UNK</c:v>
                </c:pt>
              </c:strCache>
            </c:strRef>
          </c:cat>
          <c:val>
            <c:numRef>
              <c:f>Ethnicity!$D$21:$D$25</c:f>
              <c:numCache>
                <c:formatCode>General</c:formatCode>
                <c:ptCount val="5"/>
                <c:pt idx="0">
                  <c:v>70</c:v>
                </c:pt>
                <c:pt idx="1">
                  <c:v>76</c:v>
                </c:pt>
                <c:pt idx="2">
                  <c:v>81.3</c:v>
                </c:pt>
                <c:pt idx="3">
                  <c:v>100</c:v>
                </c:pt>
                <c:pt idx="4">
                  <c:v>84</c:v>
                </c:pt>
              </c:numCache>
            </c:numRef>
          </c:val>
        </c:ser>
        <c:dLbls>
          <c:showLegendKey val="0"/>
          <c:showVal val="0"/>
          <c:showCatName val="0"/>
          <c:showSerName val="0"/>
          <c:showPercent val="0"/>
          <c:showBubbleSize val="0"/>
        </c:dLbls>
        <c:gapWidth val="150"/>
        <c:axId val="78295040"/>
        <c:axId val="78296960"/>
      </c:barChart>
      <c:catAx>
        <c:axId val="78295040"/>
        <c:scaling>
          <c:orientation val="minMax"/>
        </c:scaling>
        <c:delete val="0"/>
        <c:axPos val="b"/>
        <c:title>
          <c:tx>
            <c:rich>
              <a:bodyPr/>
              <a:lstStyle/>
              <a:p>
                <a:pPr>
                  <a:defRPr/>
                </a:pPr>
                <a:r>
                  <a:rPr lang="en-US"/>
                  <a:t>Ethnicities</a:t>
                </a:r>
              </a:p>
            </c:rich>
          </c:tx>
          <c:layout/>
          <c:overlay val="0"/>
        </c:title>
        <c:majorTickMark val="out"/>
        <c:minorTickMark val="none"/>
        <c:tickLblPos val="nextTo"/>
        <c:crossAx val="78296960"/>
        <c:crosses val="autoZero"/>
        <c:auto val="1"/>
        <c:lblAlgn val="ctr"/>
        <c:lblOffset val="100"/>
        <c:noMultiLvlLbl val="0"/>
      </c:catAx>
      <c:valAx>
        <c:axId val="78296960"/>
        <c:scaling>
          <c:orientation val="minMax"/>
        </c:scaling>
        <c:delete val="0"/>
        <c:axPos val="l"/>
        <c:majorGridlines/>
        <c:title>
          <c:tx>
            <c:rich>
              <a:bodyPr rot="-5400000" vert="horz"/>
              <a:lstStyle/>
              <a:p>
                <a:pPr>
                  <a:defRPr/>
                </a:pPr>
                <a:r>
                  <a:rPr lang="en-US"/>
                  <a:t>% Success/Retention</a:t>
                </a:r>
              </a:p>
            </c:rich>
          </c:tx>
          <c:layout/>
          <c:overlay val="0"/>
        </c:title>
        <c:numFmt formatCode="General" sourceLinked="1"/>
        <c:majorTickMark val="out"/>
        <c:minorTickMark val="none"/>
        <c:tickLblPos val="nextTo"/>
        <c:crossAx val="78295040"/>
        <c:crosses val="autoZero"/>
        <c:crossBetween val="between"/>
      </c:valAx>
    </c:plotArea>
    <c:legend>
      <c:legendPos val="r"/>
      <c:layout>
        <c:manualLayout>
          <c:xMode val="edge"/>
          <c:yMode val="edge"/>
          <c:x val="0.79293189312874357"/>
          <c:y val="0.27033355205599302"/>
          <c:w val="0.20350685331000293"/>
          <c:h val="0.16743438320209975"/>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Geology Success</a:t>
            </a:r>
            <a:r>
              <a:rPr lang="en-US" baseline="0"/>
              <a:t> and Retention by Ethnicities</a:t>
            </a:r>
            <a:endParaRPr lang="en-US"/>
          </a:p>
        </c:rich>
      </c:tx>
      <c:layout/>
      <c:overlay val="0"/>
    </c:title>
    <c:autoTitleDeleted val="0"/>
    <c:plotArea>
      <c:layout>
        <c:manualLayout>
          <c:layoutTarget val="inner"/>
          <c:xMode val="edge"/>
          <c:yMode val="edge"/>
          <c:x val="0.18586490791215202"/>
          <c:y val="0.29653944298629337"/>
          <c:w val="0.64980202795163422"/>
          <c:h val="0.48930920093321667"/>
        </c:manualLayout>
      </c:layout>
      <c:barChart>
        <c:barDir val="col"/>
        <c:grouping val="clustered"/>
        <c:varyColors val="0"/>
        <c:ser>
          <c:idx val="0"/>
          <c:order val="0"/>
          <c:tx>
            <c:strRef>
              <c:f>Ethnicity!$C$56</c:f>
              <c:strCache>
                <c:ptCount val="1"/>
                <c:pt idx="0">
                  <c:v>Success</c:v>
                </c:pt>
              </c:strCache>
            </c:strRef>
          </c:tx>
          <c:invertIfNegative val="0"/>
          <c:cat>
            <c:strRef>
              <c:f>Ethnicity!$B$57:$B$61</c:f>
              <c:strCache>
                <c:ptCount val="5"/>
                <c:pt idx="0">
                  <c:v>AA</c:v>
                </c:pt>
                <c:pt idx="1">
                  <c:v>White</c:v>
                </c:pt>
                <c:pt idx="2">
                  <c:v>Hisp</c:v>
                </c:pt>
                <c:pt idx="3">
                  <c:v>Other</c:v>
                </c:pt>
                <c:pt idx="4">
                  <c:v>UNK</c:v>
                </c:pt>
              </c:strCache>
            </c:strRef>
          </c:cat>
          <c:val>
            <c:numRef>
              <c:f>Ethnicity!$C$57:$C$61</c:f>
              <c:numCache>
                <c:formatCode>General</c:formatCode>
                <c:ptCount val="5"/>
                <c:pt idx="0">
                  <c:v>50</c:v>
                </c:pt>
                <c:pt idx="1">
                  <c:v>64</c:v>
                </c:pt>
                <c:pt idx="2">
                  <c:v>49</c:v>
                </c:pt>
                <c:pt idx="3">
                  <c:v>100</c:v>
                </c:pt>
                <c:pt idx="4">
                  <c:v>54</c:v>
                </c:pt>
              </c:numCache>
            </c:numRef>
          </c:val>
        </c:ser>
        <c:ser>
          <c:idx val="1"/>
          <c:order val="1"/>
          <c:tx>
            <c:strRef>
              <c:f>Ethnicity!$D$56</c:f>
              <c:strCache>
                <c:ptCount val="1"/>
                <c:pt idx="0">
                  <c:v>Retention</c:v>
                </c:pt>
              </c:strCache>
            </c:strRef>
          </c:tx>
          <c:invertIfNegative val="0"/>
          <c:cat>
            <c:strRef>
              <c:f>Ethnicity!$B$57:$B$61</c:f>
              <c:strCache>
                <c:ptCount val="5"/>
                <c:pt idx="0">
                  <c:v>AA</c:v>
                </c:pt>
                <c:pt idx="1">
                  <c:v>White</c:v>
                </c:pt>
                <c:pt idx="2">
                  <c:v>Hisp</c:v>
                </c:pt>
                <c:pt idx="3">
                  <c:v>Other</c:v>
                </c:pt>
                <c:pt idx="4">
                  <c:v>UNK</c:v>
                </c:pt>
              </c:strCache>
            </c:strRef>
          </c:cat>
          <c:val>
            <c:numRef>
              <c:f>Ethnicity!$D$57:$D$61</c:f>
              <c:numCache>
                <c:formatCode>General</c:formatCode>
                <c:ptCount val="5"/>
                <c:pt idx="0">
                  <c:v>67</c:v>
                </c:pt>
                <c:pt idx="1">
                  <c:v>79</c:v>
                </c:pt>
                <c:pt idx="2">
                  <c:v>80</c:v>
                </c:pt>
                <c:pt idx="3">
                  <c:v>100</c:v>
                </c:pt>
                <c:pt idx="4">
                  <c:v>73</c:v>
                </c:pt>
              </c:numCache>
            </c:numRef>
          </c:val>
        </c:ser>
        <c:dLbls>
          <c:showLegendKey val="0"/>
          <c:showVal val="0"/>
          <c:showCatName val="0"/>
          <c:showSerName val="0"/>
          <c:showPercent val="0"/>
          <c:showBubbleSize val="0"/>
        </c:dLbls>
        <c:gapWidth val="150"/>
        <c:axId val="78314880"/>
        <c:axId val="78059008"/>
      </c:barChart>
      <c:catAx>
        <c:axId val="78314880"/>
        <c:scaling>
          <c:orientation val="minMax"/>
        </c:scaling>
        <c:delete val="0"/>
        <c:axPos val="b"/>
        <c:title>
          <c:tx>
            <c:rich>
              <a:bodyPr/>
              <a:lstStyle/>
              <a:p>
                <a:pPr>
                  <a:defRPr/>
                </a:pPr>
                <a:r>
                  <a:rPr lang="en-US"/>
                  <a:t>Ethnicities</a:t>
                </a:r>
              </a:p>
            </c:rich>
          </c:tx>
          <c:layout/>
          <c:overlay val="0"/>
        </c:title>
        <c:majorTickMark val="out"/>
        <c:minorTickMark val="none"/>
        <c:tickLblPos val="nextTo"/>
        <c:crossAx val="78059008"/>
        <c:crosses val="autoZero"/>
        <c:auto val="1"/>
        <c:lblAlgn val="ctr"/>
        <c:lblOffset val="100"/>
        <c:noMultiLvlLbl val="0"/>
      </c:catAx>
      <c:valAx>
        <c:axId val="78059008"/>
        <c:scaling>
          <c:orientation val="minMax"/>
        </c:scaling>
        <c:delete val="0"/>
        <c:axPos val="l"/>
        <c:majorGridlines/>
        <c:title>
          <c:tx>
            <c:rich>
              <a:bodyPr rot="-5400000" vert="horz"/>
              <a:lstStyle/>
              <a:p>
                <a:pPr>
                  <a:defRPr/>
                </a:pPr>
                <a:r>
                  <a:rPr lang="en-US"/>
                  <a:t>% Success/Retention</a:t>
                </a:r>
              </a:p>
            </c:rich>
          </c:tx>
          <c:layout/>
          <c:overlay val="0"/>
        </c:title>
        <c:numFmt formatCode="General" sourceLinked="1"/>
        <c:majorTickMark val="out"/>
        <c:minorTickMark val="none"/>
        <c:tickLblPos val="nextTo"/>
        <c:crossAx val="78314880"/>
        <c:crosses val="autoZero"/>
        <c:crossBetween val="between"/>
      </c:valAx>
    </c:plotArea>
    <c:legend>
      <c:legendPos val="r"/>
      <c:layout>
        <c:manualLayout>
          <c:xMode val="edge"/>
          <c:yMode val="edge"/>
          <c:x val="0.77845018035847124"/>
          <c:y val="0.29348170020414116"/>
          <c:w val="0.20372450769856976"/>
          <c:h val="0.1674343832020997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F4B5-4B0A-4818-ADC4-4CF16FA7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2430</Words>
  <Characters>13851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Tina Aguirre</cp:lastModifiedBy>
  <cp:revision>2</cp:revision>
  <cp:lastPrinted>2013-11-14T21:50:00Z</cp:lastPrinted>
  <dcterms:created xsi:type="dcterms:W3CDTF">2014-03-05T20:52:00Z</dcterms:created>
  <dcterms:modified xsi:type="dcterms:W3CDTF">2014-03-05T20:52:00Z</dcterms:modified>
</cp:coreProperties>
</file>