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0E245C" w:rsidRDefault="000E245C">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0E245C" w:rsidRDefault="000E245C">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7B466A" w:rsidP="007E4294">
            <w:pPr>
              <w:rPr>
                <w:sz w:val="24"/>
                <w:szCs w:val="24"/>
              </w:rPr>
            </w:pPr>
            <w:r>
              <w:rPr>
                <w:sz w:val="24"/>
                <w:szCs w:val="24"/>
              </w:rPr>
              <w:t>2012-2013</w:t>
            </w:r>
          </w:p>
        </w:tc>
        <w:tc>
          <w:tcPr>
            <w:tcW w:w="6912" w:type="dxa"/>
            <w:vAlign w:val="center"/>
          </w:tcPr>
          <w:p w:rsidR="000403F6" w:rsidRDefault="00046042" w:rsidP="00046042">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7B466A" w:rsidP="004B7383">
            <w:pPr>
              <w:rPr>
                <w:sz w:val="24"/>
                <w:szCs w:val="24"/>
              </w:rPr>
            </w:pPr>
            <w:r>
              <w:rPr>
                <w:sz w:val="24"/>
                <w:szCs w:val="24"/>
              </w:rPr>
              <w:t>Distance Education:  Online Courses</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7B466A" w:rsidP="004B7383">
            <w:pPr>
              <w:rPr>
                <w:sz w:val="24"/>
                <w:szCs w:val="24"/>
              </w:rPr>
            </w:pPr>
            <w:r>
              <w:rPr>
                <w:sz w:val="24"/>
                <w:szCs w:val="24"/>
              </w:rPr>
              <w:t>Departments Offering Online Courses</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7B466A" w:rsidP="004B7383">
            <w:pPr>
              <w:rPr>
                <w:sz w:val="24"/>
                <w:szCs w:val="24"/>
              </w:rPr>
            </w:pPr>
            <w:r>
              <w:rPr>
                <w:sz w:val="24"/>
                <w:szCs w:val="24"/>
              </w:rPr>
              <w:t>Divisions Offering Online Courses</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7B466A" w:rsidP="004B7383">
            <w:pPr>
              <w:rPr>
                <w:sz w:val="24"/>
                <w:szCs w:val="24"/>
              </w:rPr>
            </w:pPr>
            <w:r>
              <w:rPr>
                <w:sz w:val="24"/>
                <w:szCs w:val="24"/>
              </w:rPr>
              <w:t>Gaylla A. Finnell, Distance Education Coordinator</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Default="009968E8" w:rsidP="00BD5E72">
      <w:pPr>
        <w:pStyle w:val="ListParagraph"/>
        <w:spacing w:after="0" w:line="240" w:lineRule="auto"/>
        <w:ind w:left="1080"/>
        <w:rPr>
          <w:sz w:val="24"/>
          <w:szCs w:val="24"/>
        </w:rPr>
      </w:pPr>
    </w:p>
    <w:p w:rsidR="00583E49" w:rsidRPr="00BD5E72" w:rsidRDefault="00583E49"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Default="00D001FF" w:rsidP="000C3BC9">
            <w:pPr>
              <w:jc w:val="center"/>
              <w:rPr>
                <w:b/>
                <w:sz w:val="24"/>
                <w:szCs w:val="24"/>
              </w:rPr>
            </w:pPr>
          </w:p>
          <w:p w:rsidR="00583E49" w:rsidRDefault="00583E49" w:rsidP="000C3BC9">
            <w:pPr>
              <w:jc w:val="center"/>
              <w:rPr>
                <w:b/>
                <w:sz w:val="24"/>
                <w:szCs w:val="24"/>
              </w:rPr>
            </w:pPr>
          </w:p>
          <w:p w:rsidR="00583E49" w:rsidRDefault="00583E49" w:rsidP="000C3BC9">
            <w:pPr>
              <w:jc w:val="center"/>
              <w:rPr>
                <w:b/>
                <w:sz w:val="24"/>
                <w:szCs w:val="24"/>
              </w:rPr>
            </w:pPr>
          </w:p>
          <w:p w:rsidR="00583E49" w:rsidRDefault="00583E49" w:rsidP="000C3BC9">
            <w:pPr>
              <w:jc w:val="center"/>
              <w:rPr>
                <w:b/>
                <w:sz w:val="24"/>
                <w:szCs w:val="24"/>
              </w:rPr>
            </w:pPr>
          </w:p>
          <w:p w:rsidR="00583E49" w:rsidRPr="00D001FF" w:rsidRDefault="00583E49"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007B466A">
              <w:rPr>
                <w:sz w:val="24"/>
                <w:szCs w:val="24"/>
              </w:rPr>
              <w:t xml:space="preserve">  Submit Substantive Change Proposal to the State Chancellor’s Office </w:t>
            </w:r>
            <w:r w:rsidR="000F3AF6">
              <w:rPr>
                <w:sz w:val="24"/>
                <w:szCs w:val="24"/>
              </w:rPr>
              <w:t>for the development of programs with at least 50%</w:t>
            </w:r>
            <w:r w:rsidR="007B466A">
              <w:rPr>
                <w:sz w:val="24"/>
                <w:szCs w:val="24"/>
              </w:rPr>
              <w:t xml:space="preserve"> </w:t>
            </w:r>
            <w:r w:rsidR="000F3AF6">
              <w:rPr>
                <w:sz w:val="24"/>
                <w:szCs w:val="24"/>
              </w:rPr>
              <w:t xml:space="preserve">or more units available online.  </w:t>
            </w:r>
            <w:r w:rsidR="007B466A">
              <w:rPr>
                <w:sz w:val="24"/>
                <w:szCs w:val="24"/>
              </w:rPr>
              <w:t xml:space="preserve">  </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966CFD"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1</w:t>
            </w:r>
          </w:p>
          <w:p w:rsidR="005B59C1" w:rsidRPr="003B17D4" w:rsidRDefault="00966CFD"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7B466A"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966CFD">
              <w:rPr>
                <w:b/>
                <w:sz w:val="24"/>
                <w:szCs w:val="24"/>
              </w:rPr>
              <w:t xml:space="preserve"> </w:t>
            </w:r>
            <w:r w:rsidR="00966CFD">
              <w:rPr>
                <w:sz w:val="24"/>
                <w:szCs w:val="24"/>
              </w:rPr>
              <w:t xml:space="preserve">Develop an online training policy for faculty teaching online courses at IVC.  </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966CF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966CFD"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966CFD"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Default="005B59C1" w:rsidP="004A2B92">
            <w:pPr>
              <w:rPr>
                <w:b/>
                <w:sz w:val="24"/>
                <w:szCs w:val="24"/>
              </w:rPr>
            </w:pPr>
          </w:p>
          <w:p w:rsidR="00583E49" w:rsidRPr="00D001FF" w:rsidRDefault="00583E49"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966CFD">
              <w:rPr>
                <w:sz w:val="24"/>
                <w:szCs w:val="24"/>
              </w:rPr>
              <w:t xml:space="preserve">  Develop an online course development policy to insure quality of online courses offered at IVC.  </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966CF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966CF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966CFD"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583E49" w:rsidRDefault="00583E49" w:rsidP="0023193A">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00966CFD">
        <w:rPr>
          <w:sz w:val="24"/>
          <w:szCs w:val="24"/>
        </w:rPr>
        <w:t xml:space="preserve">  Online courses were not offered at IVC during 2012-13 (with the exception of a few non-transfer courses) due to the institution’</w:t>
      </w:r>
      <w:r w:rsidR="0072536D">
        <w:rPr>
          <w:sz w:val="24"/>
          <w:szCs w:val="24"/>
        </w:rPr>
        <w:t>s failure to submit a Substantive</w:t>
      </w:r>
      <w:r w:rsidR="00966CFD">
        <w:rPr>
          <w:sz w:val="24"/>
          <w:szCs w:val="24"/>
        </w:rPr>
        <w:t xml:space="preserve"> Change Proposal to the State Chancellor’s Office.  AY 2012-13 </w:t>
      </w:r>
      <w:r w:rsidR="0072536D">
        <w:rPr>
          <w:sz w:val="24"/>
          <w:szCs w:val="24"/>
        </w:rPr>
        <w:t>focused on</w:t>
      </w:r>
      <w:r w:rsidR="00966CFD">
        <w:rPr>
          <w:sz w:val="24"/>
          <w:szCs w:val="24"/>
        </w:rPr>
        <w:t xml:space="preserve"> preparing the Substantive Change Proposal an</w:t>
      </w:r>
      <w:r w:rsidR="006F403E">
        <w:rPr>
          <w:sz w:val="24"/>
          <w:szCs w:val="24"/>
        </w:rPr>
        <w:t>d developing policies to insure</w:t>
      </w:r>
      <w:r w:rsidR="00966CFD">
        <w:rPr>
          <w:sz w:val="24"/>
          <w:szCs w:val="24"/>
        </w:rPr>
        <w:t xml:space="preserve"> quality and consistency in online course development</w:t>
      </w:r>
      <w:r w:rsidR="0072536D">
        <w:rPr>
          <w:sz w:val="24"/>
          <w:szCs w:val="24"/>
        </w:rPr>
        <w:t xml:space="preserve">.  The Substantive Change Proposal was submitted on October 15, 2012.  To insure quality course development and instruction, policies were developed requiring all online faculty to complete five (5) courses in online teaching methods through @ONE training (two courses prior to teaching online and three additional courses completed within three years).  In addition, newly developed online courses </w:t>
      </w:r>
      <w:r w:rsidR="006F403E">
        <w:rPr>
          <w:sz w:val="24"/>
          <w:szCs w:val="24"/>
        </w:rPr>
        <w:t xml:space="preserve">were required to </w:t>
      </w:r>
      <w:r w:rsidR="0072536D">
        <w:rPr>
          <w:sz w:val="24"/>
          <w:szCs w:val="24"/>
        </w:rPr>
        <w:t xml:space="preserve">be evaluated by the Distance Education Committee to insure pedagogical quality of the course content and effective online course structure.  </w:t>
      </w:r>
      <w:r w:rsidR="006F403E">
        <w:rPr>
          <w:sz w:val="24"/>
          <w:szCs w:val="24"/>
        </w:rPr>
        <w:t xml:space="preserve">Compliance with the training and evaluation processes was required in order to develop courses for online instruction at IVC.    </w:t>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r w:rsidR="00590572">
        <w:rPr>
          <w:sz w:val="24"/>
          <w:szCs w:val="24"/>
        </w:rPr>
        <w:t xml:space="preserve">  </w:t>
      </w:r>
    </w:p>
    <w:p w:rsidR="00590572" w:rsidRDefault="00590572" w:rsidP="00590572">
      <w:pPr>
        <w:spacing w:after="0" w:line="240" w:lineRule="auto"/>
        <w:rPr>
          <w:sz w:val="24"/>
          <w:szCs w:val="24"/>
        </w:rPr>
      </w:pPr>
    </w:p>
    <w:p w:rsidR="00590572" w:rsidRDefault="00590572" w:rsidP="00590572">
      <w:pPr>
        <w:tabs>
          <w:tab w:val="left" w:pos="8565"/>
        </w:tabs>
        <w:rPr>
          <w:sz w:val="24"/>
          <w:szCs w:val="24"/>
        </w:rPr>
      </w:pPr>
      <w:r>
        <w:rPr>
          <w:noProof/>
        </w:rPr>
        <w:drawing>
          <wp:anchor distT="0" distB="0" distL="114300" distR="114300" simplePos="0" relativeHeight="251660288" behindDoc="1" locked="0" layoutInCell="1" allowOverlap="1" wp14:anchorId="351E1204" wp14:editId="5DA60070">
            <wp:simplePos x="0" y="0"/>
            <wp:positionH relativeFrom="margin">
              <wp:align>center</wp:align>
            </wp:positionH>
            <wp:positionV relativeFrom="paragraph">
              <wp:posOffset>51435</wp:posOffset>
            </wp:positionV>
            <wp:extent cx="4572000" cy="2743200"/>
            <wp:effectExtent l="0" t="0" r="19050" b="1905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sz w:val="24"/>
          <w:szCs w:val="24"/>
        </w:rPr>
        <w:tab/>
      </w:r>
    </w:p>
    <w:p w:rsidR="009E5AE3" w:rsidRDefault="00590572" w:rsidP="00590572">
      <w:pPr>
        <w:tabs>
          <w:tab w:val="left" w:pos="8565"/>
        </w:tabs>
        <w:ind w:left="720"/>
        <w:rPr>
          <w:sz w:val="24"/>
          <w:szCs w:val="24"/>
        </w:rPr>
      </w:pPr>
      <w:r>
        <w:rPr>
          <w:sz w:val="24"/>
          <w:szCs w:val="24"/>
        </w:rPr>
        <w:t>In Fall 2010, online course enrollment represented 6</w:t>
      </w:r>
      <w:r w:rsidR="009E5AE3">
        <w:rPr>
          <w:sz w:val="24"/>
          <w:szCs w:val="24"/>
        </w:rPr>
        <w:t xml:space="preserve">.9% of our student population, increasing to 7.2% in Spring 2011.  In Fall 2011, online course enrollment represented 7.4% of our student population, increasing to 7.6% in Spring 2012.  This continual increase was expected as we developed our online programming on campus.  </w:t>
      </w:r>
    </w:p>
    <w:p w:rsidR="00590572" w:rsidRPr="00590572" w:rsidRDefault="009E5AE3" w:rsidP="00590572">
      <w:pPr>
        <w:tabs>
          <w:tab w:val="left" w:pos="8565"/>
        </w:tabs>
        <w:ind w:left="720"/>
        <w:rPr>
          <w:sz w:val="24"/>
          <w:szCs w:val="24"/>
        </w:rPr>
      </w:pPr>
      <w:r>
        <w:rPr>
          <w:sz w:val="24"/>
          <w:szCs w:val="24"/>
        </w:rPr>
        <w:t xml:space="preserve">During AY 2012-13, online courses were limited pending processing of our Substantive Change Proposal by the State Chancellor’s Office.  In Fall 2012, online course enrollment represented only 1.3% of our student population, decreasing to .1% in Spring 2013.  </w:t>
      </w:r>
    </w:p>
    <w:p w:rsidR="00590572" w:rsidRPr="00590572" w:rsidRDefault="00590572" w:rsidP="00590572">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lastRenderedPageBreak/>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p w:rsidR="00C318F4" w:rsidRDefault="007653BF" w:rsidP="00C318F4">
      <w:pPr>
        <w:pStyle w:val="ListParagraph"/>
        <w:spacing w:after="0" w:line="240" w:lineRule="auto"/>
        <w:ind w:left="1800"/>
        <w:rPr>
          <w:sz w:val="24"/>
          <w:szCs w:val="24"/>
        </w:rPr>
      </w:pPr>
      <w:r>
        <w:rPr>
          <w:sz w:val="24"/>
          <w:szCs w:val="24"/>
        </w:rPr>
        <w:t>No data submitted for Distance Education productivity trends.</w:t>
      </w:r>
      <w:r w:rsidR="00C318F4">
        <w:rPr>
          <w:sz w:val="24"/>
          <w:szCs w:val="24"/>
        </w:rPr>
        <w:t xml:space="preserve">  </w:t>
      </w:r>
      <w:r>
        <w:rPr>
          <w:sz w:val="24"/>
          <w:szCs w:val="24"/>
        </w:rPr>
        <w:t>Productivity trends are</w:t>
      </w:r>
      <w:r w:rsidR="00C318F4">
        <w:rPr>
          <w:sz w:val="24"/>
          <w:szCs w:val="24"/>
        </w:rPr>
        <w:t xml:space="preserve"> covered in each discipline.  The focus of the Distance Education Program Review is the success and retention rates of online courses.  </w:t>
      </w:r>
    </w:p>
    <w:p w:rsidR="00110022" w:rsidRPr="00110022" w:rsidRDefault="00110022" w:rsidP="00110022">
      <w:pPr>
        <w:pStyle w:val="ListParagraph"/>
        <w:spacing w:after="0" w:line="240" w:lineRule="auto"/>
        <w:ind w:left="1800"/>
        <w:rPr>
          <w:sz w:val="24"/>
          <w:szCs w:val="24"/>
        </w:rPr>
      </w:pPr>
    </w:p>
    <w:p w:rsid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DF20FA" w:rsidRDefault="00DF20FA" w:rsidP="00DF20FA">
      <w:pPr>
        <w:jc w:val="center"/>
        <w:rPr>
          <w:sz w:val="24"/>
        </w:rPr>
      </w:pPr>
    </w:p>
    <w:p w:rsidR="00DF20FA" w:rsidRPr="00DF20FA" w:rsidRDefault="00DF20FA" w:rsidP="00DF20FA">
      <w:pPr>
        <w:jc w:val="center"/>
        <w:rPr>
          <w:b/>
          <w:sz w:val="24"/>
        </w:rPr>
      </w:pPr>
      <w:r w:rsidRPr="00DF20FA">
        <w:rPr>
          <w:b/>
          <w:sz w:val="24"/>
        </w:rPr>
        <w:t>GO TO PAGE 6</w:t>
      </w:r>
    </w:p>
    <w:p w:rsidR="00DF20FA" w:rsidRPr="00DF20FA" w:rsidRDefault="00DF20FA" w:rsidP="00DF20FA">
      <w:pPr>
        <w:rPr>
          <w:sz w:val="24"/>
        </w:rPr>
      </w:pPr>
    </w:p>
    <w:p w:rsidR="0023193A" w:rsidRDefault="0023193A" w:rsidP="00110022">
      <w:pPr>
        <w:pStyle w:val="ListParagraph"/>
        <w:spacing w:after="0" w:line="240" w:lineRule="auto"/>
        <w:ind w:left="1800"/>
        <w:rPr>
          <w:sz w:val="24"/>
          <w:szCs w:val="24"/>
        </w:rPr>
      </w:pPr>
    </w:p>
    <w:p w:rsidR="0023193A" w:rsidRDefault="00521341" w:rsidP="0023193A">
      <w:pPr>
        <w:pStyle w:val="ListParagraph"/>
        <w:spacing w:after="0" w:line="240" w:lineRule="auto"/>
        <w:ind w:left="1800"/>
        <w:rPr>
          <w:sz w:val="24"/>
          <w:szCs w:val="24"/>
        </w:rPr>
      </w:pPr>
      <w:r>
        <w:rPr>
          <w:noProof/>
        </w:rPr>
        <w:lastRenderedPageBreak/>
        <w:drawing>
          <wp:anchor distT="0" distB="0" distL="114300" distR="114300" simplePos="0" relativeHeight="251661312" behindDoc="1" locked="0" layoutInCell="1" allowOverlap="1" wp14:anchorId="412702CF" wp14:editId="10A3A840">
            <wp:simplePos x="0" y="0"/>
            <wp:positionH relativeFrom="margin">
              <wp:align>center</wp:align>
            </wp:positionH>
            <wp:positionV relativeFrom="paragraph">
              <wp:posOffset>53975</wp:posOffset>
            </wp:positionV>
            <wp:extent cx="4572000" cy="2743200"/>
            <wp:effectExtent l="0" t="0" r="19050" b="1905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tbl>
      <w:tblPr>
        <w:tblStyle w:val="TableGrid"/>
        <w:tblW w:w="0" w:type="auto"/>
        <w:jc w:val="center"/>
        <w:tblLook w:val="04A0" w:firstRow="1" w:lastRow="0" w:firstColumn="1" w:lastColumn="0" w:noHBand="0" w:noVBand="1"/>
      </w:tblPr>
      <w:tblGrid>
        <w:gridCol w:w="1611"/>
        <w:gridCol w:w="1620"/>
        <w:gridCol w:w="1568"/>
        <w:gridCol w:w="1573"/>
        <w:gridCol w:w="1620"/>
        <w:gridCol w:w="1597"/>
        <w:gridCol w:w="1573"/>
        <w:gridCol w:w="1654"/>
      </w:tblGrid>
      <w:tr w:rsidR="003543CC" w:rsidRPr="003543CC" w:rsidTr="00731606">
        <w:trPr>
          <w:trHeight w:val="449"/>
          <w:jc w:val="center"/>
        </w:trPr>
        <w:tc>
          <w:tcPr>
            <w:tcW w:w="12816" w:type="dxa"/>
            <w:gridSpan w:val="8"/>
            <w:tcBorders>
              <w:top w:val="nil"/>
              <w:left w:val="nil"/>
              <w:right w:val="nil"/>
            </w:tcBorders>
            <w:vAlign w:val="center"/>
          </w:tcPr>
          <w:p w:rsidR="003543CC" w:rsidRPr="003543CC" w:rsidRDefault="003543CC" w:rsidP="003543CC">
            <w:pPr>
              <w:pStyle w:val="ListParagraph"/>
              <w:ind w:left="0"/>
              <w:jc w:val="center"/>
              <w:rPr>
                <w:rFonts w:ascii="Arial Black" w:hAnsi="Arial Black"/>
                <w:b/>
                <w:sz w:val="24"/>
                <w:szCs w:val="24"/>
              </w:rPr>
            </w:pPr>
            <w:r w:rsidRPr="003543CC">
              <w:rPr>
                <w:rFonts w:ascii="Arial Black" w:hAnsi="Arial Black"/>
                <w:b/>
                <w:sz w:val="24"/>
                <w:szCs w:val="24"/>
              </w:rPr>
              <w:t>GAPS IN SUCCESS RATES</w:t>
            </w:r>
          </w:p>
        </w:tc>
      </w:tr>
      <w:tr w:rsidR="003543CC" w:rsidRPr="003543CC" w:rsidTr="00731606">
        <w:trPr>
          <w:jc w:val="center"/>
        </w:trPr>
        <w:tc>
          <w:tcPr>
            <w:tcW w:w="1611" w:type="dxa"/>
            <w:tcBorders>
              <w:right w:val="single" w:sz="18" w:space="0" w:color="auto"/>
            </w:tcBorders>
            <w:vAlign w:val="center"/>
          </w:tcPr>
          <w:p w:rsidR="003543CC" w:rsidRPr="003543CC" w:rsidRDefault="003543CC" w:rsidP="003543CC">
            <w:pPr>
              <w:pStyle w:val="ListParagraph"/>
              <w:ind w:left="0"/>
              <w:jc w:val="center"/>
              <w:rPr>
                <w:rFonts w:ascii="Arial Narrow" w:hAnsi="Arial Narrow"/>
                <w:b/>
                <w:sz w:val="24"/>
                <w:szCs w:val="24"/>
              </w:rPr>
            </w:pPr>
            <w:r w:rsidRPr="003543CC">
              <w:rPr>
                <w:rFonts w:ascii="Arial Narrow" w:hAnsi="Arial Narrow"/>
                <w:b/>
                <w:sz w:val="24"/>
                <w:szCs w:val="24"/>
              </w:rPr>
              <w:t>Term</w:t>
            </w:r>
          </w:p>
        </w:tc>
        <w:tc>
          <w:tcPr>
            <w:tcW w:w="1620" w:type="dxa"/>
            <w:tcBorders>
              <w:top w:val="single" w:sz="18" w:space="0" w:color="auto"/>
              <w:left w:val="single" w:sz="18" w:space="0" w:color="auto"/>
            </w:tcBorders>
            <w:vAlign w:val="center"/>
          </w:tcPr>
          <w:p w:rsidR="003543CC" w:rsidRPr="003543CC" w:rsidRDefault="003543CC" w:rsidP="003543CC">
            <w:pPr>
              <w:pStyle w:val="ListParagraph"/>
              <w:ind w:left="0"/>
              <w:jc w:val="center"/>
              <w:rPr>
                <w:rFonts w:ascii="Arial Narrow" w:hAnsi="Arial Narrow"/>
                <w:b/>
                <w:sz w:val="24"/>
                <w:szCs w:val="24"/>
              </w:rPr>
            </w:pPr>
            <w:r w:rsidRPr="003543CC">
              <w:rPr>
                <w:rFonts w:ascii="Arial Narrow" w:hAnsi="Arial Narrow"/>
                <w:b/>
                <w:sz w:val="24"/>
                <w:szCs w:val="24"/>
              </w:rPr>
              <w:t>Online</w:t>
            </w:r>
          </w:p>
        </w:tc>
        <w:tc>
          <w:tcPr>
            <w:tcW w:w="1568" w:type="dxa"/>
            <w:tcBorders>
              <w:top w:val="single" w:sz="18" w:space="0" w:color="auto"/>
            </w:tcBorders>
            <w:vAlign w:val="center"/>
          </w:tcPr>
          <w:p w:rsidR="003543CC" w:rsidRPr="003543CC" w:rsidRDefault="003543CC" w:rsidP="003543CC">
            <w:pPr>
              <w:pStyle w:val="ListParagraph"/>
              <w:ind w:left="0"/>
              <w:jc w:val="center"/>
              <w:rPr>
                <w:rFonts w:ascii="Arial Narrow" w:hAnsi="Arial Narrow"/>
                <w:b/>
                <w:sz w:val="24"/>
                <w:szCs w:val="24"/>
              </w:rPr>
            </w:pPr>
            <w:r w:rsidRPr="003543CC">
              <w:rPr>
                <w:rFonts w:ascii="Arial Narrow" w:hAnsi="Arial Narrow"/>
                <w:b/>
                <w:sz w:val="24"/>
                <w:szCs w:val="24"/>
              </w:rPr>
              <w:t>Day</w:t>
            </w:r>
          </w:p>
        </w:tc>
        <w:tc>
          <w:tcPr>
            <w:tcW w:w="1573" w:type="dxa"/>
            <w:tcBorders>
              <w:top w:val="single" w:sz="18" w:space="0" w:color="auto"/>
              <w:right w:val="single" w:sz="18" w:space="0" w:color="auto"/>
            </w:tcBorders>
            <w:vAlign w:val="center"/>
          </w:tcPr>
          <w:p w:rsidR="003543CC" w:rsidRPr="003543CC" w:rsidRDefault="003543CC" w:rsidP="003543CC">
            <w:pPr>
              <w:pStyle w:val="ListParagraph"/>
              <w:ind w:left="0"/>
              <w:jc w:val="center"/>
              <w:rPr>
                <w:rFonts w:ascii="Arial Narrow" w:hAnsi="Arial Narrow"/>
                <w:b/>
                <w:sz w:val="24"/>
                <w:szCs w:val="24"/>
              </w:rPr>
            </w:pPr>
            <w:r w:rsidRPr="003543CC">
              <w:rPr>
                <w:rFonts w:ascii="Arial Narrow" w:hAnsi="Arial Narrow"/>
                <w:b/>
                <w:sz w:val="24"/>
                <w:szCs w:val="24"/>
              </w:rPr>
              <w:t>Gap</w:t>
            </w:r>
          </w:p>
        </w:tc>
        <w:tc>
          <w:tcPr>
            <w:tcW w:w="1620" w:type="dxa"/>
            <w:tcBorders>
              <w:top w:val="single" w:sz="18" w:space="0" w:color="auto"/>
              <w:left w:val="single" w:sz="18" w:space="0" w:color="auto"/>
            </w:tcBorders>
            <w:vAlign w:val="center"/>
          </w:tcPr>
          <w:p w:rsidR="003543CC" w:rsidRPr="003543CC" w:rsidRDefault="003543CC" w:rsidP="003543CC">
            <w:pPr>
              <w:pStyle w:val="ListParagraph"/>
              <w:ind w:left="0"/>
              <w:jc w:val="center"/>
              <w:rPr>
                <w:rFonts w:ascii="Arial Narrow" w:hAnsi="Arial Narrow"/>
                <w:b/>
                <w:sz w:val="24"/>
                <w:szCs w:val="24"/>
              </w:rPr>
            </w:pPr>
            <w:r w:rsidRPr="003543CC">
              <w:rPr>
                <w:rFonts w:ascii="Arial Narrow" w:hAnsi="Arial Narrow"/>
                <w:b/>
                <w:sz w:val="24"/>
                <w:szCs w:val="24"/>
              </w:rPr>
              <w:t>Online</w:t>
            </w:r>
          </w:p>
        </w:tc>
        <w:tc>
          <w:tcPr>
            <w:tcW w:w="1597" w:type="dxa"/>
            <w:tcBorders>
              <w:top w:val="single" w:sz="18" w:space="0" w:color="auto"/>
            </w:tcBorders>
            <w:vAlign w:val="center"/>
          </w:tcPr>
          <w:p w:rsidR="003543CC" w:rsidRPr="003543CC" w:rsidRDefault="003543CC" w:rsidP="003543CC">
            <w:pPr>
              <w:pStyle w:val="ListParagraph"/>
              <w:ind w:left="0"/>
              <w:jc w:val="center"/>
              <w:rPr>
                <w:rFonts w:ascii="Arial Narrow" w:hAnsi="Arial Narrow"/>
                <w:b/>
                <w:sz w:val="24"/>
                <w:szCs w:val="24"/>
              </w:rPr>
            </w:pPr>
            <w:r w:rsidRPr="003543CC">
              <w:rPr>
                <w:rFonts w:ascii="Arial Narrow" w:hAnsi="Arial Narrow"/>
                <w:b/>
                <w:sz w:val="24"/>
                <w:szCs w:val="24"/>
              </w:rPr>
              <w:t>Night</w:t>
            </w:r>
          </w:p>
        </w:tc>
        <w:tc>
          <w:tcPr>
            <w:tcW w:w="1573" w:type="dxa"/>
            <w:tcBorders>
              <w:top w:val="single" w:sz="18" w:space="0" w:color="auto"/>
              <w:right w:val="single" w:sz="18" w:space="0" w:color="auto"/>
            </w:tcBorders>
            <w:vAlign w:val="center"/>
          </w:tcPr>
          <w:p w:rsidR="003543CC" w:rsidRPr="003543CC" w:rsidRDefault="003543CC" w:rsidP="003543CC">
            <w:pPr>
              <w:pStyle w:val="ListParagraph"/>
              <w:ind w:left="0"/>
              <w:jc w:val="center"/>
              <w:rPr>
                <w:rFonts w:ascii="Arial Narrow" w:hAnsi="Arial Narrow"/>
                <w:b/>
                <w:sz w:val="24"/>
                <w:szCs w:val="24"/>
              </w:rPr>
            </w:pPr>
            <w:r w:rsidRPr="003543CC">
              <w:rPr>
                <w:rFonts w:ascii="Arial Narrow" w:hAnsi="Arial Narrow"/>
                <w:b/>
                <w:sz w:val="24"/>
                <w:szCs w:val="24"/>
              </w:rPr>
              <w:t>Gap</w:t>
            </w:r>
          </w:p>
        </w:tc>
        <w:tc>
          <w:tcPr>
            <w:tcW w:w="1654" w:type="dxa"/>
            <w:tcBorders>
              <w:left w:val="single" w:sz="18" w:space="0" w:color="auto"/>
            </w:tcBorders>
            <w:vAlign w:val="center"/>
          </w:tcPr>
          <w:p w:rsidR="003543CC" w:rsidRPr="003543CC" w:rsidRDefault="003543CC" w:rsidP="003543CC">
            <w:pPr>
              <w:pStyle w:val="ListParagraph"/>
              <w:ind w:left="0"/>
              <w:jc w:val="center"/>
              <w:rPr>
                <w:rFonts w:ascii="Arial Narrow" w:hAnsi="Arial Narrow"/>
                <w:b/>
                <w:sz w:val="24"/>
                <w:szCs w:val="24"/>
              </w:rPr>
            </w:pPr>
            <w:r w:rsidRPr="003543CC">
              <w:rPr>
                <w:rFonts w:ascii="Arial Narrow" w:hAnsi="Arial Narrow"/>
                <w:b/>
                <w:sz w:val="24"/>
                <w:szCs w:val="24"/>
              </w:rPr>
              <w:t>Average Gap</w:t>
            </w:r>
          </w:p>
        </w:tc>
      </w:tr>
      <w:tr w:rsidR="003543CC" w:rsidRPr="003543CC" w:rsidTr="00731606">
        <w:trPr>
          <w:jc w:val="center"/>
        </w:trPr>
        <w:tc>
          <w:tcPr>
            <w:tcW w:w="1611" w:type="dxa"/>
            <w:tcBorders>
              <w:right w:val="single" w:sz="18" w:space="0" w:color="auto"/>
            </w:tcBorders>
          </w:tcPr>
          <w:p w:rsidR="003543CC" w:rsidRPr="003543CC" w:rsidRDefault="003543CC" w:rsidP="0023193A">
            <w:pPr>
              <w:pStyle w:val="ListParagraph"/>
              <w:ind w:left="0"/>
              <w:rPr>
                <w:rFonts w:ascii="Arial Narrow" w:hAnsi="Arial Narrow"/>
                <w:sz w:val="24"/>
                <w:szCs w:val="24"/>
              </w:rPr>
            </w:pPr>
            <w:r>
              <w:rPr>
                <w:rFonts w:ascii="Arial Narrow" w:hAnsi="Arial Narrow"/>
                <w:sz w:val="24"/>
                <w:szCs w:val="24"/>
              </w:rPr>
              <w:t>Fall 2010</w:t>
            </w:r>
          </w:p>
        </w:tc>
        <w:tc>
          <w:tcPr>
            <w:tcW w:w="1620" w:type="dxa"/>
            <w:tcBorders>
              <w:left w:val="single" w:sz="18" w:space="0" w:color="auto"/>
            </w:tcBorders>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49</w:t>
            </w:r>
            <w:r w:rsidR="00323618">
              <w:rPr>
                <w:rFonts w:ascii="Arial Narrow" w:hAnsi="Arial Narrow"/>
                <w:sz w:val="24"/>
                <w:szCs w:val="24"/>
              </w:rPr>
              <w:t>%</w:t>
            </w:r>
          </w:p>
        </w:tc>
        <w:tc>
          <w:tcPr>
            <w:tcW w:w="1568" w:type="dxa"/>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71</w:t>
            </w:r>
            <w:r w:rsidR="00323618">
              <w:rPr>
                <w:rFonts w:ascii="Arial Narrow" w:hAnsi="Arial Narrow"/>
                <w:sz w:val="24"/>
                <w:szCs w:val="24"/>
              </w:rPr>
              <w:t>%</w:t>
            </w:r>
          </w:p>
        </w:tc>
        <w:tc>
          <w:tcPr>
            <w:tcW w:w="1573" w:type="dxa"/>
            <w:tcBorders>
              <w:right w:val="single" w:sz="18" w:space="0" w:color="auto"/>
            </w:tcBorders>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22%</w:t>
            </w:r>
          </w:p>
        </w:tc>
        <w:tc>
          <w:tcPr>
            <w:tcW w:w="1620" w:type="dxa"/>
            <w:tcBorders>
              <w:left w:val="single" w:sz="18" w:space="0" w:color="auto"/>
            </w:tcBorders>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49</w:t>
            </w:r>
            <w:r w:rsidR="00323618">
              <w:rPr>
                <w:rFonts w:ascii="Arial Narrow" w:hAnsi="Arial Narrow"/>
                <w:sz w:val="24"/>
                <w:szCs w:val="24"/>
              </w:rPr>
              <w:t>%</w:t>
            </w:r>
          </w:p>
        </w:tc>
        <w:tc>
          <w:tcPr>
            <w:tcW w:w="1597" w:type="dxa"/>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71</w:t>
            </w:r>
            <w:r w:rsidR="00323618">
              <w:rPr>
                <w:rFonts w:ascii="Arial Narrow" w:hAnsi="Arial Narrow"/>
                <w:sz w:val="24"/>
                <w:szCs w:val="24"/>
              </w:rPr>
              <w:t>%</w:t>
            </w:r>
          </w:p>
        </w:tc>
        <w:tc>
          <w:tcPr>
            <w:tcW w:w="1573" w:type="dxa"/>
            <w:tcBorders>
              <w:right w:val="single" w:sz="18" w:space="0" w:color="auto"/>
            </w:tcBorders>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22%</w:t>
            </w:r>
          </w:p>
        </w:tc>
        <w:tc>
          <w:tcPr>
            <w:tcW w:w="1654" w:type="dxa"/>
            <w:tcBorders>
              <w:left w:val="single" w:sz="18" w:space="0" w:color="auto"/>
            </w:tcBorders>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22%</w:t>
            </w:r>
          </w:p>
        </w:tc>
      </w:tr>
      <w:tr w:rsidR="003543CC" w:rsidRPr="003543CC" w:rsidTr="00731606">
        <w:trPr>
          <w:jc w:val="center"/>
        </w:trPr>
        <w:tc>
          <w:tcPr>
            <w:tcW w:w="1611" w:type="dxa"/>
            <w:tcBorders>
              <w:right w:val="single" w:sz="18" w:space="0" w:color="auto"/>
            </w:tcBorders>
          </w:tcPr>
          <w:p w:rsidR="003543CC" w:rsidRDefault="003543CC" w:rsidP="0023193A">
            <w:pPr>
              <w:pStyle w:val="ListParagraph"/>
              <w:ind w:left="0"/>
              <w:rPr>
                <w:rFonts w:ascii="Arial Narrow" w:hAnsi="Arial Narrow"/>
                <w:sz w:val="24"/>
                <w:szCs w:val="24"/>
              </w:rPr>
            </w:pPr>
            <w:r>
              <w:rPr>
                <w:rFonts w:ascii="Arial Narrow" w:hAnsi="Arial Narrow"/>
                <w:sz w:val="24"/>
                <w:szCs w:val="24"/>
              </w:rPr>
              <w:t>Spring 2011</w:t>
            </w:r>
          </w:p>
        </w:tc>
        <w:tc>
          <w:tcPr>
            <w:tcW w:w="1620" w:type="dxa"/>
            <w:tcBorders>
              <w:left w:val="single" w:sz="18" w:space="0" w:color="auto"/>
            </w:tcBorders>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55</w:t>
            </w:r>
            <w:r w:rsidR="00323618">
              <w:rPr>
                <w:rFonts w:ascii="Arial Narrow" w:hAnsi="Arial Narrow"/>
                <w:sz w:val="24"/>
                <w:szCs w:val="24"/>
              </w:rPr>
              <w:t>%</w:t>
            </w:r>
          </w:p>
        </w:tc>
        <w:tc>
          <w:tcPr>
            <w:tcW w:w="1568" w:type="dxa"/>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69</w:t>
            </w:r>
            <w:r w:rsidR="00323618">
              <w:rPr>
                <w:rFonts w:ascii="Arial Narrow" w:hAnsi="Arial Narrow"/>
                <w:sz w:val="24"/>
                <w:szCs w:val="24"/>
              </w:rPr>
              <w:t>%</w:t>
            </w:r>
          </w:p>
        </w:tc>
        <w:tc>
          <w:tcPr>
            <w:tcW w:w="1573" w:type="dxa"/>
            <w:tcBorders>
              <w:right w:val="single" w:sz="18" w:space="0" w:color="auto"/>
            </w:tcBorders>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14%</w:t>
            </w:r>
          </w:p>
        </w:tc>
        <w:tc>
          <w:tcPr>
            <w:tcW w:w="1620" w:type="dxa"/>
            <w:tcBorders>
              <w:left w:val="single" w:sz="18" w:space="0" w:color="auto"/>
            </w:tcBorders>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55</w:t>
            </w:r>
            <w:r w:rsidR="00323618">
              <w:rPr>
                <w:rFonts w:ascii="Arial Narrow" w:hAnsi="Arial Narrow"/>
                <w:sz w:val="24"/>
                <w:szCs w:val="24"/>
              </w:rPr>
              <w:t>%</w:t>
            </w:r>
          </w:p>
        </w:tc>
        <w:tc>
          <w:tcPr>
            <w:tcW w:w="1597" w:type="dxa"/>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71</w:t>
            </w:r>
            <w:r w:rsidR="00323618">
              <w:rPr>
                <w:rFonts w:ascii="Arial Narrow" w:hAnsi="Arial Narrow"/>
                <w:sz w:val="24"/>
                <w:szCs w:val="24"/>
              </w:rPr>
              <w:t>%</w:t>
            </w:r>
          </w:p>
        </w:tc>
        <w:tc>
          <w:tcPr>
            <w:tcW w:w="1573" w:type="dxa"/>
            <w:tcBorders>
              <w:right w:val="single" w:sz="18" w:space="0" w:color="auto"/>
            </w:tcBorders>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16%</w:t>
            </w:r>
          </w:p>
        </w:tc>
        <w:tc>
          <w:tcPr>
            <w:tcW w:w="1654" w:type="dxa"/>
            <w:tcBorders>
              <w:left w:val="single" w:sz="18" w:space="0" w:color="auto"/>
            </w:tcBorders>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15%</w:t>
            </w:r>
          </w:p>
        </w:tc>
      </w:tr>
      <w:tr w:rsidR="003543CC" w:rsidRPr="003543CC" w:rsidTr="00731606">
        <w:trPr>
          <w:jc w:val="center"/>
        </w:trPr>
        <w:tc>
          <w:tcPr>
            <w:tcW w:w="1611" w:type="dxa"/>
            <w:tcBorders>
              <w:right w:val="single" w:sz="18" w:space="0" w:color="auto"/>
            </w:tcBorders>
          </w:tcPr>
          <w:p w:rsidR="003543CC" w:rsidRDefault="003543CC" w:rsidP="0023193A">
            <w:pPr>
              <w:pStyle w:val="ListParagraph"/>
              <w:ind w:left="0"/>
              <w:rPr>
                <w:rFonts w:ascii="Arial Narrow" w:hAnsi="Arial Narrow"/>
                <w:sz w:val="24"/>
                <w:szCs w:val="24"/>
              </w:rPr>
            </w:pPr>
            <w:r>
              <w:rPr>
                <w:rFonts w:ascii="Arial Narrow" w:hAnsi="Arial Narrow"/>
                <w:sz w:val="24"/>
                <w:szCs w:val="24"/>
              </w:rPr>
              <w:t>Fall 2011</w:t>
            </w:r>
          </w:p>
        </w:tc>
        <w:tc>
          <w:tcPr>
            <w:tcW w:w="1620" w:type="dxa"/>
            <w:tcBorders>
              <w:left w:val="single" w:sz="18" w:space="0" w:color="auto"/>
            </w:tcBorders>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54</w:t>
            </w:r>
            <w:r w:rsidR="00323618">
              <w:rPr>
                <w:rFonts w:ascii="Arial Narrow" w:hAnsi="Arial Narrow"/>
                <w:sz w:val="24"/>
                <w:szCs w:val="24"/>
              </w:rPr>
              <w:t>%</w:t>
            </w:r>
          </w:p>
        </w:tc>
        <w:tc>
          <w:tcPr>
            <w:tcW w:w="1568" w:type="dxa"/>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75</w:t>
            </w:r>
            <w:r w:rsidR="00323618">
              <w:rPr>
                <w:rFonts w:ascii="Arial Narrow" w:hAnsi="Arial Narrow"/>
                <w:sz w:val="24"/>
                <w:szCs w:val="24"/>
              </w:rPr>
              <w:t>%</w:t>
            </w:r>
          </w:p>
        </w:tc>
        <w:tc>
          <w:tcPr>
            <w:tcW w:w="1573" w:type="dxa"/>
            <w:tcBorders>
              <w:right w:val="single" w:sz="18" w:space="0" w:color="auto"/>
            </w:tcBorders>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21%</w:t>
            </w:r>
          </w:p>
        </w:tc>
        <w:tc>
          <w:tcPr>
            <w:tcW w:w="1620" w:type="dxa"/>
            <w:tcBorders>
              <w:left w:val="single" w:sz="18" w:space="0" w:color="auto"/>
            </w:tcBorders>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54</w:t>
            </w:r>
            <w:r w:rsidR="00323618">
              <w:rPr>
                <w:rFonts w:ascii="Arial Narrow" w:hAnsi="Arial Narrow"/>
                <w:sz w:val="24"/>
                <w:szCs w:val="24"/>
              </w:rPr>
              <w:t>%</w:t>
            </w:r>
          </w:p>
        </w:tc>
        <w:tc>
          <w:tcPr>
            <w:tcW w:w="1597" w:type="dxa"/>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71</w:t>
            </w:r>
            <w:r w:rsidR="00323618">
              <w:rPr>
                <w:rFonts w:ascii="Arial Narrow" w:hAnsi="Arial Narrow"/>
                <w:sz w:val="24"/>
                <w:szCs w:val="24"/>
              </w:rPr>
              <w:t>%</w:t>
            </w:r>
          </w:p>
        </w:tc>
        <w:tc>
          <w:tcPr>
            <w:tcW w:w="1573" w:type="dxa"/>
            <w:tcBorders>
              <w:right w:val="single" w:sz="18" w:space="0" w:color="auto"/>
            </w:tcBorders>
            <w:vAlign w:val="center"/>
          </w:tcPr>
          <w:p w:rsidR="003543CC" w:rsidRPr="003543CC" w:rsidRDefault="00731606" w:rsidP="003543CC">
            <w:pPr>
              <w:pStyle w:val="ListParagraph"/>
              <w:ind w:left="0"/>
              <w:jc w:val="center"/>
              <w:rPr>
                <w:rFonts w:ascii="Arial Narrow" w:hAnsi="Arial Narrow"/>
                <w:sz w:val="24"/>
                <w:szCs w:val="24"/>
              </w:rPr>
            </w:pPr>
            <w:r>
              <w:rPr>
                <w:rFonts w:ascii="Arial Narrow" w:hAnsi="Arial Narrow"/>
                <w:sz w:val="24"/>
                <w:szCs w:val="24"/>
              </w:rPr>
              <w:t>17%</w:t>
            </w:r>
          </w:p>
        </w:tc>
        <w:tc>
          <w:tcPr>
            <w:tcW w:w="1654" w:type="dxa"/>
            <w:tcBorders>
              <w:left w:val="single" w:sz="18" w:space="0" w:color="auto"/>
            </w:tcBorders>
            <w:vAlign w:val="center"/>
          </w:tcPr>
          <w:p w:rsidR="003543CC" w:rsidRPr="003543CC" w:rsidRDefault="00731606" w:rsidP="003543CC">
            <w:pPr>
              <w:pStyle w:val="ListParagraph"/>
              <w:ind w:left="0"/>
              <w:jc w:val="center"/>
              <w:rPr>
                <w:rFonts w:ascii="Arial Narrow" w:hAnsi="Arial Narrow"/>
                <w:sz w:val="24"/>
                <w:szCs w:val="24"/>
              </w:rPr>
            </w:pPr>
            <w:r>
              <w:rPr>
                <w:rFonts w:ascii="Arial Narrow" w:hAnsi="Arial Narrow"/>
                <w:sz w:val="24"/>
                <w:szCs w:val="24"/>
              </w:rPr>
              <w:t>19%</w:t>
            </w:r>
          </w:p>
        </w:tc>
      </w:tr>
      <w:tr w:rsidR="003543CC" w:rsidRPr="003543CC" w:rsidTr="00731606">
        <w:trPr>
          <w:jc w:val="center"/>
        </w:trPr>
        <w:tc>
          <w:tcPr>
            <w:tcW w:w="1611" w:type="dxa"/>
            <w:tcBorders>
              <w:right w:val="single" w:sz="18" w:space="0" w:color="auto"/>
            </w:tcBorders>
          </w:tcPr>
          <w:p w:rsidR="003543CC" w:rsidRDefault="003543CC" w:rsidP="0023193A">
            <w:pPr>
              <w:pStyle w:val="ListParagraph"/>
              <w:ind w:left="0"/>
              <w:rPr>
                <w:rFonts w:ascii="Arial Narrow" w:hAnsi="Arial Narrow"/>
                <w:sz w:val="24"/>
                <w:szCs w:val="24"/>
              </w:rPr>
            </w:pPr>
            <w:r>
              <w:rPr>
                <w:rFonts w:ascii="Arial Narrow" w:hAnsi="Arial Narrow"/>
                <w:sz w:val="24"/>
                <w:szCs w:val="24"/>
              </w:rPr>
              <w:t>Spring 2012</w:t>
            </w:r>
          </w:p>
        </w:tc>
        <w:tc>
          <w:tcPr>
            <w:tcW w:w="1620" w:type="dxa"/>
            <w:tcBorders>
              <w:left w:val="single" w:sz="18" w:space="0" w:color="auto"/>
            </w:tcBorders>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55</w:t>
            </w:r>
            <w:r w:rsidR="00323618">
              <w:rPr>
                <w:rFonts w:ascii="Arial Narrow" w:hAnsi="Arial Narrow"/>
                <w:sz w:val="24"/>
                <w:szCs w:val="24"/>
              </w:rPr>
              <w:t>%</w:t>
            </w:r>
          </w:p>
        </w:tc>
        <w:tc>
          <w:tcPr>
            <w:tcW w:w="1568" w:type="dxa"/>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71</w:t>
            </w:r>
            <w:r w:rsidR="00323618">
              <w:rPr>
                <w:rFonts w:ascii="Arial Narrow" w:hAnsi="Arial Narrow"/>
                <w:sz w:val="24"/>
                <w:szCs w:val="24"/>
              </w:rPr>
              <w:t>%</w:t>
            </w:r>
          </w:p>
        </w:tc>
        <w:tc>
          <w:tcPr>
            <w:tcW w:w="1573" w:type="dxa"/>
            <w:tcBorders>
              <w:right w:val="single" w:sz="18" w:space="0" w:color="auto"/>
            </w:tcBorders>
            <w:vAlign w:val="center"/>
          </w:tcPr>
          <w:p w:rsidR="003543CC" w:rsidRPr="003543CC" w:rsidRDefault="00731606" w:rsidP="003543CC">
            <w:pPr>
              <w:pStyle w:val="ListParagraph"/>
              <w:ind w:left="0"/>
              <w:jc w:val="center"/>
              <w:rPr>
                <w:rFonts w:ascii="Arial Narrow" w:hAnsi="Arial Narrow"/>
                <w:sz w:val="24"/>
                <w:szCs w:val="24"/>
              </w:rPr>
            </w:pPr>
            <w:r>
              <w:rPr>
                <w:rFonts w:ascii="Arial Narrow" w:hAnsi="Arial Narrow"/>
                <w:sz w:val="24"/>
                <w:szCs w:val="24"/>
              </w:rPr>
              <w:t>16%</w:t>
            </w:r>
          </w:p>
        </w:tc>
        <w:tc>
          <w:tcPr>
            <w:tcW w:w="1620" w:type="dxa"/>
            <w:tcBorders>
              <w:left w:val="single" w:sz="18" w:space="0" w:color="auto"/>
            </w:tcBorders>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55</w:t>
            </w:r>
            <w:r w:rsidR="00323618">
              <w:rPr>
                <w:rFonts w:ascii="Arial Narrow" w:hAnsi="Arial Narrow"/>
                <w:sz w:val="24"/>
                <w:szCs w:val="24"/>
              </w:rPr>
              <w:t>%</w:t>
            </w:r>
          </w:p>
        </w:tc>
        <w:tc>
          <w:tcPr>
            <w:tcW w:w="1597" w:type="dxa"/>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74</w:t>
            </w:r>
            <w:r w:rsidR="00323618">
              <w:rPr>
                <w:rFonts w:ascii="Arial Narrow" w:hAnsi="Arial Narrow"/>
                <w:sz w:val="24"/>
                <w:szCs w:val="24"/>
              </w:rPr>
              <w:t>%</w:t>
            </w:r>
          </w:p>
        </w:tc>
        <w:tc>
          <w:tcPr>
            <w:tcW w:w="1573" w:type="dxa"/>
            <w:tcBorders>
              <w:right w:val="single" w:sz="18" w:space="0" w:color="auto"/>
            </w:tcBorders>
            <w:vAlign w:val="center"/>
          </w:tcPr>
          <w:p w:rsidR="003543CC" w:rsidRPr="003543CC" w:rsidRDefault="00731606" w:rsidP="003543CC">
            <w:pPr>
              <w:pStyle w:val="ListParagraph"/>
              <w:ind w:left="0"/>
              <w:jc w:val="center"/>
              <w:rPr>
                <w:rFonts w:ascii="Arial Narrow" w:hAnsi="Arial Narrow"/>
                <w:sz w:val="24"/>
                <w:szCs w:val="24"/>
              </w:rPr>
            </w:pPr>
            <w:r>
              <w:rPr>
                <w:rFonts w:ascii="Arial Narrow" w:hAnsi="Arial Narrow"/>
                <w:sz w:val="24"/>
                <w:szCs w:val="24"/>
              </w:rPr>
              <w:t>19%</w:t>
            </w:r>
          </w:p>
        </w:tc>
        <w:tc>
          <w:tcPr>
            <w:tcW w:w="1654" w:type="dxa"/>
            <w:tcBorders>
              <w:left w:val="single" w:sz="18" w:space="0" w:color="auto"/>
            </w:tcBorders>
            <w:vAlign w:val="center"/>
          </w:tcPr>
          <w:p w:rsidR="003543CC" w:rsidRPr="003543CC" w:rsidRDefault="00731606" w:rsidP="003543CC">
            <w:pPr>
              <w:pStyle w:val="ListParagraph"/>
              <w:ind w:left="0"/>
              <w:jc w:val="center"/>
              <w:rPr>
                <w:rFonts w:ascii="Arial Narrow" w:hAnsi="Arial Narrow"/>
                <w:sz w:val="24"/>
                <w:szCs w:val="24"/>
              </w:rPr>
            </w:pPr>
            <w:r>
              <w:rPr>
                <w:rFonts w:ascii="Arial Narrow" w:hAnsi="Arial Narrow"/>
                <w:sz w:val="24"/>
                <w:szCs w:val="24"/>
              </w:rPr>
              <w:t>17.5%</w:t>
            </w:r>
          </w:p>
        </w:tc>
      </w:tr>
      <w:tr w:rsidR="003543CC" w:rsidRPr="003543CC" w:rsidTr="00731606">
        <w:trPr>
          <w:jc w:val="center"/>
        </w:trPr>
        <w:tc>
          <w:tcPr>
            <w:tcW w:w="1611" w:type="dxa"/>
            <w:tcBorders>
              <w:bottom w:val="single" w:sz="4" w:space="0" w:color="auto"/>
              <w:right w:val="single" w:sz="18" w:space="0" w:color="auto"/>
            </w:tcBorders>
          </w:tcPr>
          <w:p w:rsidR="003543CC" w:rsidRDefault="003543CC" w:rsidP="0023193A">
            <w:pPr>
              <w:pStyle w:val="ListParagraph"/>
              <w:ind w:left="0"/>
              <w:rPr>
                <w:rFonts w:ascii="Arial Narrow" w:hAnsi="Arial Narrow"/>
                <w:sz w:val="24"/>
                <w:szCs w:val="24"/>
              </w:rPr>
            </w:pPr>
            <w:r>
              <w:rPr>
                <w:rFonts w:ascii="Arial Narrow" w:hAnsi="Arial Narrow"/>
                <w:sz w:val="24"/>
                <w:szCs w:val="24"/>
              </w:rPr>
              <w:t>Fall 2012</w:t>
            </w:r>
          </w:p>
        </w:tc>
        <w:tc>
          <w:tcPr>
            <w:tcW w:w="1620" w:type="dxa"/>
            <w:tcBorders>
              <w:left w:val="single" w:sz="18" w:space="0" w:color="auto"/>
              <w:bottom w:val="single" w:sz="18" w:space="0" w:color="auto"/>
            </w:tcBorders>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54</w:t>
            </w:r>
            <w:r w:rsidR="00323618">
              <w:rPr>
                <w:rFonts w:ascii="Arial Narrow" w:hAnsi="Arial Narrow"/>
                <w:sz w:val="24"/>
                <w:szCs w:val="24"/>
              </w:rPr>
              <w:t>%</w:t>
            </w:r>
          </w:p>
        </w:tc>
        <w:tc>
          <w:tcPr>
            <w:tcW w:w="1568" w:type="dxa"/>
            <w:tcBorders>
              <w:bottom w:val="single" w:sz="18" w:space="0" w:color="auto"/>
            </w:tcBorders>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74</w:t>
            </w:r>
            <w:r w:rsidR="00323618">
              <w:rPr>
                <w:rFonts w:ascii="Arial Narrow" w:hAnsi="Arial Narrow"/>
                <w:sz w:val="24"/>
                <w:szCs w:val="24"/>
              </w:rPr>
              <w:t>%</w:t>
            </w:r>
          </w:p>
        </w:tc>
        <w:tc>
          <w:tcPr>
            <w:tcW w:w="1573" w:type="dxa"/>
            <w:tcBorders>
              <w:bottom w:val="single" w:sz="18" w:space="0" w:color="auto"/>
              <w:right w:val="single" w:sz="18" w:space="0" w:color="auto"/>
            </w:tcBorders>
            <w:vAlign w:val="center"/>
          </w:tcPr>
          <w:p w:rsidR="003543CC" w:rsidRPr="003543CC" w:rsidRDefault="00731606" w:rsidP="003543CC">
            <w:pPr>
              <w:pStyle w:val="ListParagraph"/>
              <w:ind w:left="0"/>
              <w:jc w:val="center"/>
              <w:rPr>
                <w:rFonts w:ascii="Arial Narrow" w:hAnsi="Arial Narrow"/>
                <w:sz w:val="24"/>
                <w:szCs w:val="24"/>
              </w:rPr>
            </w:pPr>
            <w:r>
              <w:rPr>
                <w:rFonts w:ascii="Arial Narrow" w:hAnsi="Arial Narrow"/>
                <w:sz w:val="24"/>
                <w:szCs w:val="24"/>
              </w:rPr>
              <w:t>20%</w:t>
            </w:r>
          </w:p>
        </w:tc>
        <w:tc>
          <w:tcPr>
            <w:tcW w:w="1620" w:type="dxa"/>
            <w:tcBorders>
              <w:left w:val="single" w:sz="18" w:space="0" w:color="auto"/>
              <w:bottom w:val="single" w:sz="18" w:space="0" w:color="auto"/>
            </w:tcBorders>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54</w:t>
            </w:r>
            <w:r w:rsidR="00323618">
              <w:rPr>
                <w:rFonts w:ascii="Arial Narrow" w:hAnsi="Arial Narrow"/>
                <w:sz w:val="24"/>
                <w:szCs w:val="24"/>
              </w:rPr>
              <w:t>%</w:t>
            </w:r>
          </w:p>
        </w:tc>
        <w:tc>
          <w:tcPr>
            <w:tcW w:w="1597" w:type="dxa"/>
            <w:tcBorders>
              <w:bottom w:val="single" w:sz="18" w:space="0" w:color="auto"/>
            </w:tcBorders>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75</w:t>
            </w:r>
            <w:r w:rsidR="00323618">
              <w:rPr>
                <w:rFonts w:ascii="Arial Narrow" w:hAnsi="Arial Narrow"/>
                <w:sz w:val="24"/>
                <w:szCs w:val="24"/>
              </w:rPr>
              <w:t>%</w:t>
            </w:r>
          </w:p>
        </w:tc>
        <w:tc>
          <w:tcPr>
            <w:tcW w:w="1573" w:type="dxa"/>
            <w:tcBorders>
              <w:bottom w:val="single" w:sz="18" w:space="0" w:color="auto"/>
              <w:right w:val="single" w:sz="18" w:space="0" w:color="auto"/>
            </w:tcBorders>
            <w:vAlign w:val="center"/>
          </w:tcPr>
          <w:p w:rsidR="003543CC" w:rsidRPr="003543CC" w:rsidRDefault="00731606" w:rsidP="003543CC">
            <w:pPr>
              <w:pStyle w:val="ListParagraph"/>
              <w:ind w:left="0"/>
              <w:jc w:val="center"/>
              <w:rPr>
                <w:rFonts w:ascii="Arial Narrow" w:hAnsi="Arial Narrow"/>
                <w:sz w:val="24"/>
                <w:szCs w:val="24"/>
              </w:rPr>
            </w:pPr>
            <w:r>
              <w:rPr>
                <w:rFonts w:ascii="Arial Narrow" w:hAnsi="Arial Narrow"/>
                <w:sz w:val="24"/>
                <w:szCs w:val="24"/>
              </w:rPr>
              <w:t>21%</w:t>
            </w:r>
          </w:p>
        </w:tc>
        <w:tc>
          <w:tcPr>
            <w:tcW w:w="1654" w:type="dxa"/>
            <w:tcBorders>
              <w:left w:val="single" w:sz="18" w:space="0" w:color="auto"/>
              <w:bottom w:val="single" w:sz="4" w:space="0" w:color="auto"/>
            </w:tcBorders>
            <w:vAlign w:val="center"/>
          </w:tcPr>
          <w:p w:rsidR="003543CC" w:rsidRPr="003543CC" w:rsidRDefault="00731606" w:rsidP="003543CC">
            <w:pPr>
              <w:pStyle w:val="ListParagraph"/>
              <w:ind w:left="0"/>
              <w:jc w:val="center"/>
              <w:rPr>
                <w:rFonts w:ascii="Arial Narrow" w:hAnsi="Arial Narrow"/>
                <w:sz w:val="24"/>
                <w:szCs w:val="24"/>
              </w:rPr>
            </w:pPr>
            <w:r>
              <w:rPr>
                <w:rFonts w:ascii="Arial Narrow" w:hAnsi="Arial Narrow"/>
                <w:sz w:val="24"/>
                <w:szCs w:val="24"/>
              </w:rPr>
              <w:t>20.5%</w:t>
            </w:r>
          </w:p>
        </w:tc>
      </w:tr>
      <w:tr w:rsidR="003543CC" w:rsidRPr="003543CC" w:rsidTr="00323618">
        <w:trPr>
          <w:jc w:val="center"/>
        </w:trPr>
        <w:tc>
          <w:tcPr>
            <w:tcW w:w="1611" w:type="dxa"/>
            <w:shd w:val="clear" w:color="auto" w:fill="D9D9D9" w:themeFill="background1" w:themeFillShade="D9"/>
          </w:tcPr>
          <w:p w:rsidR="003543CC" w:rsidRDefault="003543CC" w:rsidP="0023193A">
            <w:pPr>
              <w:pStyle w:val="ListParagraph"/>
              <w:ind w:left="0"/>
              <w:rPr>
                <w:rFonts w:ascii="Arial Narrow" w:hAnsi="Arial Narrow"/>
                <w:sz w:val="24"/>
                <w:szCs w:val="24"/>
              </w:rPr>
            </w:pPr>
            <w:r>
              <w:rPr>
                <w:rFonts w:ascii="Arial Narrow" w:hAnsi="Arial Narrow"/>
                <w:sz w:val="24"/>
                <w:szCs w:val="24"/>
              </w:rPr>
              <w:t>Spring 2013</w:t>
            </w:r>
            <w:r w:rsidR="00731606">
              <w:rPr>
                <w:rFonts w:ascii="Arial Narrow" w:hAnsi="Arial Narrow"/>
                <w:sz w:val="24"/>
                <w:szCs w:val="24"/>
              </w:rPr>
              <w:t>*</w:t>
            </w:r>
          </w:p>
        </w:tc>
        <w:tc>
          <w:tcPr>
            <w:tcW w:w="1620" w:type="dxa"/>
            <w:tcBorders>
              <w:top w:val="single" w:sz="18" w:space="0" w:color="auto"/>
              <w:bottom w:val="single" w:sz="18" w:space="0" w:color="auto"/>
            </w:tcBorders>
            <w:shd w:val="clear" w:color="auto" w:fill="D9D9D9" w:themeFill="background1" w:themeFillShade="D9"/>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70</w:t>
            </w:r>
            <w:r w:rsidR="00323618">
              <w:rPr>
                <w:rFonts w:ascii="Arial Narrow" w:hAnsi="Arial Narrow"/>
                <w:sz w:val="24"/>
                <w:szCs w:val="24"/>
              </w:rPr>
              <w:t>%</w:t>
            </w:r>
          </w:p>
        </w:tc>
        <w:tc>
          <w:tcPr>
            <w:tcW w:w="1568" w:type="dxa"/>
            <w:tcBorders>
              <w:top w:val="single" w:sz="18" w:space="0" w:color="auto"/>
              <w:bottom w:val="single" w:sz="18" w:space="0" w:color="auto"/>
            </w:tcBorders>
            <w:shd w:val="clear" w:color="auto" w:fill="D9D9D9" w:themeFill="background1" w:themeFillShade="D9"/>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71</w:t>
            </w:r>
            <w:r w:rsidR="00323618">
              <w:rPr>
                <w:rFonts w:ascii="Arial Narrow" w:hAnsi="Arial Narrow"/>
                <w:sz w:val="24"/>
                <w:szCs w:val="24"/>
              </w:rPr>
              <w:t>%</w:t>
            </w:r>
          </w:p>
        </w:tc>
        <w:tc>
          <w:tcPr>
            <w:tcW w:w="1573" w:type="dxa"/>
            <w:tcBorders>
              <w:top w:val="single" w:sz="18" w:space="0" w:color="auto"/>
              <w:bottom w:val="single" w:sz="18" w:space="0" w:color="auto"/>
            </w:tcBorders>
            <w:shd w:val="clear" w:color="auto" w:fill="D9D9D9" w:themeFill="background1" w:themeFillShade="D9"/>
            <w:vAlign w:val="center"/>
          </w:tcPr>
          <w:p w:rsidR="003543CC" w:rsidRPr="003543CC" w:rsidRDefault="00731606" w:rsidP="003543CC">
            <w:pPr>
              <w:pStyle w:val="ListParagraph"/>
              <w:ind w:left="0"/>
              <w:jc w:val="center"/>
              <w:rPr>
                <w:rFonts w:ascii="Arial Narrow" w:hAnsi="Arial Narrow"/>
                <w:sz w:val="24"/>
                <w:szCs w:val="24"/>
              </w:rPr>
            </w:pPr>
            <w:r>
              <w:rPr>
                <w:rFonts w:ascii="Arial Narrow" w:hAnsi="Arial Narrow"/>
                <w:sz w:val="24"/>
                <w:szCs w:val="24"/>
              </w:rPr>
              <w:t>1%</w:t>
            </w:r>
          </w:p>
        </w:tc>
        <w:tc>
          <w:tcPr>
            <w:tcW w:w="1620" w:type="dxa"/>
            <w:tcBorders>
              <w:top w:val="single" w:sz="18" w:space="0" w:color="auto"/>
              <w:bottom w:val="single" w:sz="18" w:space="0" w:color="auto"/>
            </w:tcBorders>
            <w:shd w:val="clear" w:color="auto" w:fill="D9D9D9" w:themeFill="background1" w:themeFillShade="D9"/>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70</w:t>
            </w:r>
            <w:r w:rsidR="00323618">
              <w:rPr>
                <w:rFonts w:ascii="Arial Narrow" w:hAnsi="Arial Narrow"/>
                <w:sz w:val="24"/>
                <w:szCs w:val="24"/>
              </w:rPr>
              <w:t>%</w:t>
            </w:r>
          </w:p>
        </w:tc>
        <w:tc>
          <w:tcPr>
            <w:tcW w:w="1597" w:type="dxa"/>
            <w:tcBorders>
              <w:top w:val="single" w:sz="18" w:space="0" w:color="auto"/>
              <w:bottom w:val="single" w:sz="18" w:space="0" w:color="auto"/>
            </w:tcBorders>
            <w:shd w:val="clear" w:color="auto" w:fill="D9D9D9" w:themeFill="background1" w:themeFillShade="D9"/>
            <w:vAlign w:val="center"/>
          </w:tcPr>
          <w:p w:rsidR="003543CC" w:rsidRPr="003543CC" w:rsidRDefault="003543CC" w:rsidP="003543CC">
            <w:pPr>
              <w:pStyle w:val="ListParagraph"/>
              <w:ind w:left="0"/>
              <w:jc w:val="center"/>
              <w:rPr>
                <w:rFonts w:ascii="Arial Narrow" w:hAnsi="Arial Narrow"/>
                <w:sz w:val="24"/>
                <w:szCs w:val="24"/>
              </w:rPr>
            </w:pPr>
            <w:r>
              <w:rPr>
                <w:rFonts w:ascii="Arial Narrow" w:hAnsi="Arial Narrow"/>
                <w:sz w:val="24"/>
                <w:szCs w:val="24"/>
              </w:rPr>
              <w:t>75</w:t>
            </w:r>
            <w:r w:rsidR="00323618">
              <w:rPr>
                <w:rFonts w:ascii="Arial Narrow" w:hAnsi="Arial Narrow"/>
                <w:sz w:val="24"/>
                <w:szCs w:val="24"/>
              </w:rPr>
              <w:t>%</w:t>
            </w:r>
          </w:p>
        </w:tc>
        <w:tc>
          <w:tcPr>
            <w:tcW w:w="1573" w:type="dxa"/>
            <w:tcBorders>
              <w:top w:val="single" w:sz="18" w:space="0" w:color="auto"/>
              <w:bottom w:val="single" w:sz="18" w:space="0" w:color="auto"/>
            </w:tcBorders>
            <w:shd w:val="clear" w:color="auto" w:fill="D9D9D9" w:themeFill="background1" w:themeFillShade="D9"/>
            <w:vAlign w:val="center"/>
          </w:tcPr>
          <w:p w:rsidR="003543CC" w:rsidRPr="003543CC" w:rsidRDefault="00731606" w:rsidP="003543CC">
            <w:pPr>
              <w:pStyle w:val="ListParagraph"/>
              <w:ind w:left="0"/>
              <w:jc w:val="center"/>
              <w:rPr>
                <w:rFonts w:ascii="Arial Narrow" w:hAnsi="Arial Narrow"/>
                <w:sz w:val="24"/>
                <w:szCs w:val="24"/>
              </w:rPr>
            </w:pPr>
            <w:r>
              <w:rPr>
                <w:rFonts w:ascii="Arial Narrow" w:hAnsi="Arial Narrow"/>
                <w:sz w:val="24"/>
                <w:szCs w:val="24"/>
              </w:rPr>
              <w:t>5%</w:t>
            </w:r>
          </w:p>
        </w:tc>
        <w:tc>
          <w:tcPr>
            <w:tcW w:w="1654" w:type="dxa"/>
            <w:shd w:val="clear" w:color="auto" w:fill="D9D9D9" w:themeFill="background1" w:themeFillShade="D9"/>
            <w:vAlign w:val="center"/>
          </w:tcPr>
          <w:p w:rsidR="003543CC" w:rsidRPr="003543CC" w:rsidRDefault="00731606" w:rsidP="003543CC">
            <w:pPr>
              <w:pStyle w:val="ListParagraph"/>
              <w:ind w:left="0"/>
              <w:jc w:val="center"/>
              <w:rPr>
                <w:rFonts w:ascii="Arial Narrow" w:hAnsi="Arial Narrow"/>
                <w:sz w:val="24"/>
                <w:szCs w:val="24"/>
              </w:rPr>
            </w:pPr>
            <w:r>
              <w:rPr>
                <w:rFonts w:ascii="Arial Narrow" w:hAnsi="Arial Narrow"/>
                <w:sz w:val="24"/>
                <w:szCs w:val="24"/>
              </w:rPr>
              <w:t>4%</w:t>
            </w:r>
          </w:p>
        </w:tc>
      </w:tr>
      <w:tr w:rsidR="00323618" w:rsidRPr="003543CC" w:rsidTr="00323618">
        <w:trPr>
          <w:jc w:val="center"/>
        </w:trPr>
        <w:tc>
          <w:tcPr>
            <w:tcW w:w="1611" w:type="dxa"/>
            <w:tcBorders>
              <w:right w:val="single" w:sz="18" w:space="0" w:color="auto"/>
            </w:tcBorders>
            <w:shd w:val="clear" w:color="auto" w:fill="FFFFFF" w:themeFill="background1"/>
          </w:tcPr>
          <w:p w:rsidR="00323618" w:rsidRPr="00323618" w:rsidRDefault="00323618" w:rsidP="0023193A">
            <w:pPr>
              <w:pStyle w:val="ListParagraph"/>
              <w:ind w:left="0"/>
              <w:rPr>
                <w:rFonts w:ascii="Arial Narrow" w:hAnsi="Arial Narrow"/>
                <w:b/>
                <w:sz w:val="24"/>
                <w:szCs w:val="24"/>
              </w:rPr>
            </w:pPr>
            <w:r w:rsidRPr="00323618">
              <w:rPr>
                <w:rFonts w:ascii="Arial Narrow" w:hAnsi="Arial Narrow"/>
                <w:b/>
                <w:sz w:val="24"/>
                <w:szCs w:val="24"/>
              </w:rPr>
              <w:t>Average</w:t>
            </w:r>
          </w:p>
        </w:tc>
        <w:tc>
          <w:tcPr>
            <w:tcW w:w="1620" w:type="dxa"/>
            <w:tcBorders>
              <w:top w:val="single" w:sz="18" w:space="0" w:color="auto"/>
              <w:left w:val="single" w:sz="18" w:space="0" w:color="auto"/>
              <w:bottom w:val="single" w:sz="18" w:space="0" w:color="auto"/>
            </w:tcBorders>
            <w:shd w:val="clear" w:color="auto" w:fill="FFFFFF" w:themeFill="background1"/>
            <w:vAlign w:val="center"/>
          </w:tcPr>
          <w:p w:rsidR="00323618" w:rsidRDefault="00323618" w:rsidP="003543CC">
            <w:pPr>
              <w:pStyle w:val="ListParagraph"/>
              <w:ind w:left="0"/>
              <w:jc w:val="center"/>
              <w:rPr>
                <w:rFonts w:ascii="Arial Narrow" w:hAnsi="Arial Narrow"/>
                <w:sz w:val="24"/>
                <w:szCs w:val="24"/>
              </w:rPr>
            </w:pPr>
            <w:r>
              <w:rPr>
                <w:rFonts w:ascii="Arial Narrow" w:hAnsi="Arial Narrow"/>
                <w:sz w:val="24"/>
                <w:szCs w:val="24"/>
              </w:rPr>
              <w:t>53.4%</w:t>
            </w:r>
          </w:p>
        </w:tc>
        <w:tc>
          <w:tcPr>
            <w:tcW w:w="1568" w:type="dxa"/>
            <w:tcBorders>
              <w:top w:val="single" w:sz="18" w:space="0" w:color="auto"/>
              <w:bottom w:val="single" w:sz="18" w:space="0" w:color="auto"/>
            </w:tcBorders>
            <w:shd w:val="clear" w:color="auto" w:fill="FFFFFF" w:themeFill="background1"/>
            <w:vAlign w:val="center"/>
          </w:tcPr>
          <w:p w:rsidR="00323618" w:rsidRDefault="00323618" w:rsidP="003543CC">
            <w:pPr>
              <w:pStyle w:val="ListParagraph"/>
              <w:ind w:left="0"/>
              <w:jc w:val="center"/>
              <w:rPr>
                <w:rFonts w:ascii="Arial Narrow" w:hAnsi="Arial Narrow"/>
                <w:sz w:val="24"/>
                <w:szCs w:val="24"/>
              </w:rPr>
            </w:pPr>
            <w:r>
              <w:rPr>
                <w:rFonts w:ascii="Arial Narrow" w:hAnsi="Arial Narrow"/>
                <w:sz w:val="24"/>
                <w:szCs w:val="24"/>
              </w:rPr>
              <w:t>72%</w:t>
            </w:r>
          </w:p>
        </w:tc>
        <w:tc>
          <w:tcPr>
            <w:tcW w:w="1573" w:type="dxa"/>
            <w:tcBorders>
              <w:top w:val="single" w:sz="18" w:space="0" w:color="auto"/>
              <w:bottom w:val="single" w:sz="18" w:space="0" w:color="auto"/>
              <w:right w:val="single" w:sz="18" w:space="0" w:color="auto"/>
            </w:tcBorders>
            <w:shd w:val="clear" w:color="auto" w:fill="FFFFFF" w:themeFill="background1"/>
            <w:vAlign w:val="center"/>
          </w:tcPr>
          <w:p w:rsidR="00323618" w:rsidRDefault="00323618" w:rsidP="003543CC">
            <w:pPr>
              <w:pStyle w:val="ListParagraph"/>
              <w:ind w:left="0"/>
              <w:jc w:val="center"/>
              <w:rPr>
                <w:rFonts w:ascii="Arial Narrow" w:hAnsi="Arial Narrow"/>
                <w:sz w:val="24"/>
                <w:szCs w:val="24"/>
              </w:rPr>
            </w:pPr>
            <w:r>
              <w:rPr>
                <w:rFonts w:ascii="Arial Narrow" w:hAnsi="Arial Narrow"/>
                <w:sz w:val="24"/>
                <w:szCs w:val="24"/>
              </w:rPr>
              <w:t>18.6%</w:t>
            </w:r>
          </w:p>
        </w:tc>
        <w:tc>
          <w:tcPr>
            <w:tcW w:w="1620" w:type="dxa"/>
            <w:tcBorders>
              <w:top w:val="single" w:sz="18" w:space="0" w:color="auto"/>
              <w:left w:val="single" w:sz="18" w:space="0" w:color="auto"/>
              <w:bottom w:val="single" w:sz="18" w:space="0" w:color="auto"/>
            </w:tcBorders>
            <w:shd w:val="clear" w:color="auto" w:fill="FFFFFF" w:themeFill="background1"/>
            <w:vAlign w:val="center"/>
          </w:tcPr>
          <w:p w:rsidR="00323618" w:rsidRDefault="00323618" w:rsidP="003543CC">
            <w:pPr>
              <w:pStyle w:val="ListParagraph"/>
              <w:ind w:left="0"/>
              <w:jc w:val="center"/>
              <w:rPr>
                <w:rFonts w:ascii="Arial Narrow" w:hAnsi="Arial Narrow"/>
                <w:sz w:val="24"/>
                <w:szCs w:val="24"/>
              </w:rPr>
            </w:pPr>
            <w:r>
              <w:rPr>
                <w:rFonts w:ascii="Arial Narrow" w:hAnsi="Arial Narrow"/>
                <w:sz w:val="24"/>
                <w:szCs w:val="24"/>
              </w:rPr>
              <w:t>53.4%</w:t>
            </w:r>
          </w:p>
        </w:tc>
        <w:tc>
          <w:tcPr>
            <w:tcW w:w="1597" w:type="dxa"/>
            <w:tcBorders>
              <w:top w:val="single" w:sz="18" w:space="0" w:color="auto"/>
              <w:bottom w:val="single" w:sz="18" w:space="0" w:color="auto"/>
            </w:tcBorders>
            <w:shd w:val="clear" w:color="auto" w:fill="FFFFFF" w:themeFill="background1"/>
            <w:vAlign w:val="center"/>
          </w:tcPr>
          <w:p w:rsidR="00323618" w:rsidRDefault="00323618" w:rsidP="003543CC">
            <w:pPr>
              <w:pStyle w:val="ListParagraph"/>
              <w:ind w:left="0"/>
              <w:jc w:val="center"/>
              <w:rPr>
                <w:rFonts w:ascii="Arial Narrow" w:hAnsi="Arial Narrow"/>
                <w:sz w:val="24"/>
                <w:szCs w:val="24"/>
              </w:rPr>
            </w:pPr>
            <w:r>
              <w:rPr>
                <w:rFonts w:ascii="Arial Narrow" w:hAnsi="Arial Narrow"/>
                <w:sz w:val="24"/>
                <w:szCs w:val="24"/>
              </w:rPr>
              <w:t>72.4%</w:t>
            </w:r>
          </w:p>
        </w:tc>
        <w:tc>
          <w:tcPr>
            <w:tcW w:w="1573" w:type="dxa"/>
            <w:tcBorders>
              <w:top w:val="single" w:sz="18" w:space="0" w:color="auto"/>
              <w:bottom w:val="single" w:sz="18" w:space="0" w:color="auto"/>
              <w:right w:val="single" w:sz="18" w:space="0" w:color="auto"/>
            </w:tcBorders>
            <w:shd w:val="clear" w:color="auto" w:fill="FFFFFF" w:themeFill="background1"/>
            <w:vAlign w:val="center"/>
          </w:tcPr>
          <w:p w:rsidR="00323618" w:rsidRDefault="00323618" w:rsidP="003543CC">
            <w:pPr>
              <w:pStyle w:val="ListParagraph"/>
              <w:ind w:left="0"/>
              <w:jc w:val="center"/>
              <w:rPr>
                <w:rFonts w:ascii="Arial Narrow" w:hAnsi="Arial Narrow"/>
                <w:sz w:val="24"/>
                <w:szCs w:val="24"/>
              </w:rPr>
            </w:pPr>
            <w:r>
              <w:rPr>
                <w:rFonts w:ascii="Arial Narrow" w:hAnsi="Arial Narrow"/>
                <w:sz w:val="24"/>
                <w:szCs w:val="24"/>
              </w:rPr>
              <w:t>19%</w:t>
            </w:r>
          </w:p>
        </w:tc>
        <w:tc>
          <w:tcPr>
            <w:tcW w:w="1654" w:type="dxa"/>
            <w:tcBorders>
              <w:left w:val="single" w:sz="18" w:space="0" w:color="auto"/>
            </w:tcBorders>
            <w:shd w:val="clear" w:color="auto" w:fill="FFFFFF" w:themeFill="background1"/>
            <w:vAlign w:val="center"/>
          </w:tcPr>
          <w:p w:rsidR="00323618" w:rsidRPr="00323618" w:rsidRDefault="00323618" w:rsidP="003543CC">
            <w:pPr>
              <w:pStyle w:val="ListParagraph"/>
              <w:ind w:left="0"/>
              <w:jc w:val="center"/>
              <w:rPr>
                <w:rFonts w:ascii="Arial Narrow" w:hAnsi="Arial Narrow"/>
                <w:b/>
                <w:sz w:val="24"/>
                <w:szCs w:val="24"/>
              </w:rPr>
            </w:pPr>
            <w:r w:rsidRPr="00323618">
              <w:rPr>
                <w:rFonts w:ascii="Arial Narrow" w:hAnsi="Arial Narrow"/>
                <w:b/>
                <w:sz w:val="24"/>
                <w:szCs w:val="24"/>
              </w:rPr>
              <w:t>18.8%</w:t>
            </w:r>
          </w:p>
        </w:tc>
      </w:tr>
    </w:tbl>
    <w:p w:rsidR="00905C9F" w:rsidRPr="00731606" w:rsidRDefault="00905C9F" w:rsidP="0023193A">
      <w:pPr>
        <w:pStyle w:val="ListParagraph"/>
        <w:spacing w:after="0" w:line="240" w:lineRule="auto"/>
        <w:ind w:left="1800"/>
        <w:rPr>
          <w:sz w:val="16"/>
          <w:szCs w:val="16"/>
        </w:rPr>
      </w:pPr>
    </w:p>
    <w:p w:rsidR="00731606" w:rsidRDefault="00731606" w:rsidP="00731606">
      <w:pPr>
        <w:pStyle w:val="ListParagraph"/>
        <w:spacing w:after="0" w:line="240" w:lineRule="auto"/>
        <w:rPr>
          <w:i/>
          <w:sz w:val="24"/>
          <w:szCs w:val="24"/>
        </w:rPr>
      </w:pPr>
      <w:r w:rsidRPr="00731606">
        <w:rPr>
          <w:i/>
          <w:sz w:val="24"/>
          <w:szCs w:val="24"/>
        </w:rPr>
        <w:t>*Spring 2013 only included 45 online students.  The data for this term is skewed due to low enrollment</w:t>
      </w:r>
      <w:r>
        <w:rPr>
          <w:i/>
          <w:sz w:val="24"/>
          <w:szCs w:val="24"/>
        </w:rPr>
        <w:t xml:space="preserve"> and should not be considered as an indicator of performance.  </w:t>
      </w:r>
    </w:p>
    <w:p w:rsidR="00731606" w:rsidRDefault="00731606" w:rsidP="00731606">
      <w:pPr>
        <w:pStyle w:val="ListParagraph"/>
        <w:spacing w:after="0" w:line="240" w:lineRule="auto"/>
        <w:rPr>
          <w:i/>
          <w:sz w:val="24"/>
          <w:szCs w:val="24"/>
        </w:rPr>
      </w:pPr>
    </w:p>
    <w:p w:rsidR="00905C9F" w:rsidRPr="00731606" w:rsidRDefault="00731606" w:rsidP="00731606">
      <w:pPr>
        <w:pStyle w:val="ListParagraph"/>
        <w:spacing w:after="0" w:line="240" w:lineRule="auto"/>
        <w:rPr>
          <w:sz w:val="24"/>
          <w:szCs w:val="24"/>
        </w:rPr>
      </w:pPr>
      <w:r w:rsidRPr="00731606">
        <w:rPr>
          <w:i/>
          <w:sz w:val="24"/>
          <w:szCs w:val="24"/>
        </w:rPr>
        <w:t xml:space="preserve"> </w:t>
      </w:r>
      <w:r>
        <w:rPr>
          <w:sz w:val="24"/>
          <w:szCs w:val="24"/>
        </w:rPr>
        <w:t xml:space="preserve">The overall average gap in success </w:t>
      </w:r>
      <w:r w:rsidR="00522D0A">
        <w:rPr>
          <w:sz w:val="24"/>
          <w:szCs w:val="24"/>
        </w:rPr>
        <w:t xml:space="preserve">rates </w:t>
      </w:r>
      <w:r w:rsidR="00832A42">
        <w:rPr>
          <w:sz w:val="24"/>
          <w:szCs w:val="24"/>
        </w:rPr>
        <w:t>between F2F and</w:t>
      </w:r>
      <w:r w:rsidR="00323618">
        <w:rPr>
          <w:sz w:val="24"/>
          <w:szCs w:val="24"/>
        </w:rPr>
        <w:t xml:space="preserve"> online courses is 18.8%.  </w:t>
      </w:r>
      <w:r w:rsidR="00832A42">
        <w:rPr>
          <w:sz w:val="24"/>
          <w:szCs w:val="24"/>
        </w:rPr>
        <w:t xml:space="preserve">The gap in success between day and online courses is slightly less than the gap in success between night and online courses (.4%).    </w:t>
      </w:r>
    </w:p>
    <w:p w:rsidR="00905C9F" w:rsidRPr="00DF20FA" w:rsidRDefault="00905C9F" w:rsidP="00DF20FA">
      <w:pPr>
        <w:spacing w:after="0" w:line="240" w:lineRule="auto"/>
        <w:rPr>
          <w:sz w:val="24"/>
          <w:szCs w:val="24"/>
        </w:rPr>
      </w:pPr>
    </w:p>
    <w:p w:rsidR="00905C9F" w:rsidRDefault="00DF20FA" w:rsidP="0023193A">
      <w:pPr>
        <w:pStyle w:val="ListParagraph"/>
        <w:spacing w:after="0" w:line="240" w:lineRule="auto"/>
        <w:ind w:left="1800"/>
        <w:rPr>
          <w:sz w:val="24"/>
          <w:szCs w:val="24"/>
        </w:rPr>
      </w:pPr>
      <w:r>
        <w:rPr>
          <w:noProof/>
        </w:rPr>
        <w:lastRenderedPageBreak/>
        <w:drawing>
          <wp:anchor distT="0" distB="0" distL="114300" distR="114300" simplePos="0" relativeHeight="251662336" behindDoc="1" locked="0" layoutInCell="1" allowOverlap="1">
            <wp:simplePos x="0" y="0"/>
            <wp:positionH relativeFrom="margin">
              <wp:align>center</wp:align>
            </wp:positionH>
            <wp:positionV relativeFrom="paragraph">
              <wp:posOffset>-2540</wp:posOffset>
            </wp:positionV>
            <wp:extent cx="4572000" cy="2743200"/>
            <wp:effectExtent l="0" t="0" r="19050" b="19050"/>
            <wp:wrapTight wrapText="bothSides">
              <wp:wrapPolygon edited="0">
                <wp:start x="0" y="0"/>
                <wp:lineTo x="0" y="21600"/>
                <wp:lineTo x="21600" y="21600"/>
                <wp:lineTo x="21600"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905C9F" w:rsidRDefault="00905C9F" w:rsidP="0023193A">
      <w:pPr>
        <w:pStyle w:val="ListParagraph"/>
        <w:spacing w:after="0" w:line="240" w:lineRule="auto"/>
        <w:ind w:left="1800"/>
        <w:rPr>
          <w:sz w:val="24"/>
          <w:szCs w:val="24"/>
        </w:rPr>
      </w:pPr>
    </w:p>
    <w:p w:rsidR="00905C9F" w:rsidRDefault="00905C9F" w:rsidP="0023193A">
      <w:pPr>
        <w:pStyle w:val="ListParagraph"/>
        <w:spacing w:after="0" w:line="240" w:lineRule="auto"/>
        <w:ind w:left="1800"/>
        <w:rPr>
          <w:sz w:val="24"/>
          <w:szCs w:val="24"/>
        </w:rPr>
      </w:pPr>
    </w:p>
    <w:p w:rsidR="00905C9F" w:rsidRDefault="00905C9F" w:rsidP="0023193A">
      <w:pPr>
        <w:pStyle w:val="ListParagraph"/>
        <w:spacing w:after="0" w:line="240" w:lineRule="auto"/>
        <w:ind w:left="1800"/>
        <w:rPr>
          <w:sz w:val="24"/>
          <w:szCs w:val="24"/>
        </w:rPr>
      </w:pPr>
    </w:p>
    <w:p w:rsidR="00905C9F" w:rsidRDefault="00905C9F" w:rsidP="0023193A">
      <w:pPr>
        <w:pStyle w:val="ListParagraph"/>
        <w:spacing w:after="0" w:line="240" w:lineRule="auto"/>
        <w:ind w:left="1800"/>
        <w:rPr>
          <w:sz w:val="24"/>
          <w:szCs w:val="24"/>
        </w:rPr>
      </w:pPr>
    </w:p>
    <w:p w:rsidR="00905C9F" w:rsidRDefault="00905C9F" w:rsidP="0023193A">
      <w:pPr>
        <w:pStyle w:val="ListParagraph"/>
        <w:spacing w:after="0" w:line="240" w:lineRule="auto"/>
        <w:ind w:left="1800"/>
        <w:rPr>
          <w:sz w:val="24"/>
          <w:szCs w:val="24"/>
        </w:rPr>
      </w:pPr>
    </w:p>
    <w:p w:rsidR="00905C9F" w:rsidRDefault="00905C9F" w:rsidP="0023193A">
      <w:pPr>
        <w:pStyle w:val="ListParagraph"/>
        <w:spacing w:after="0" w:line="240" w:lineRule="auto"/>
        <w:ind w:left="1800"/>
        <w:rPr>
          <w:sz w:val="24"/>
          <w:szCs w:val="24"/>
        </w:rPr>
      </w:pPr>
    </w:p>
    <w:p w:rsidR="00905C9F" w:rsidRDefault="00905C9F" w:rsidP="0023193A">
      <w:pPr>
        <w:pStyle w:val="ListParagraph"/>
        <w:spacing w:after="0" w:line="240" w:lineRule="auto"/>
        <w:ind w:left="1800"/>
        <w:rPr>
          <w:sz w:val="24"/>
          <w:szCs w:val="24"/>
        </w:rPr>
      </w:pPr>
    </w:p>
    <w:p w:rsidR="00905C9F" w:rsidRDefault="00905C9F" w:rsidP="0023193A">
      <w:pPr>
        <w:pStyle w:val="ListParagraph"/>
        <w:spacing w:after="0" w:line="240" w:lineRule="auto"/>
        <w:ind w:left="1800"/>
        <w:rPr>
          <w:sz w:val="24"/>
          <w:szCs w:val="24"/>
        </w:rPr>
      </w:pPr>
    </w:p>
    <w:p w:rsidR="00905C9F" w:rsidRDefault="00905C9F" w:rsidP="0023193A">
      <w:pPr>
        <w:pStyle w:val="ListParagraph"/>
        <w:spacing w:after="0" w:line="240" w:lineRule="auto"/>
        <w:ind w:left="1800"/>
        <w:rPr>
          <w:sz w:val="24"/>
          <w:szCs w:val="24"/>
        </w:rPr>
      </w:pPr>
    </w:p>
    <w:p w:rsidR="00905C9F" w:rsidRDefault="00905C9F" w:rsidP="0023193A">
      <w:pPr>
        <w:pStyle w:val="ListParagraph"/>
        <w:spacing w:after="0" w:line="240" w:lineRule="auto"/>
        <w:ind w:left="1800"/>
        <w:rPr>
          <w:sz w:val="24"/>
          <w:szCs w:val="24"/>
        </w:rPr>
      </w:pPr>
    </w:p>
    <w:p w:rsidR="00905C9F" w:rsidRDefault="00905C9F" w:rsidP="0023193A">
      <w:pPr>
        <w:pStyle w:val="ListParagraph"/>
        <w:spacing w:after="0" w:line="240" w:lineRule="auto"/>
        <w:ind w:left="1800"/>
        <w:rPr>
          <w:sz w:val="24"/>
          <w:szCs w:val="24"/>
        </w:rPr>
      </w:pPr>
    </w:p>
    <w:p w:rsidR="00905C9F" w:rsidRDefault="00905C9F" w:rsidP="0023193A">
      <w:pPr>
        <w:pStyle w:val="ListParagraph"/>
        <w:spacing w:after="0" w:line="240" w:lineRule="auto"/>
        <w:ind w:left="1800"/>
        <w:rPr>
          <w:sz w:val="24"/>
          <w:szCs w:val="24"/>
        </w:rPr>
      </w:pPr>
    </w:p>
    <w:p w:rsidR="00905C9F" w:rsidRDefault="00905C9F" w:rsidP="0023193A">
      <w:pPr>
        <w:pStyle w:val="ListParagraph"/>
        <w:spacing w:after="0" w:line="240" w:lineRule="auto"/>
        <w:ind w:left="1800"/>
        <w:rPr>
          <w:sz w:val="24"/>
          <w:szCs w:val="24"/>
        </w:rPr>
      </w:pPr>
    </w:p>
    <w:p w:rsidR="00905C9F" w:rsidRDefault="00905C9F" w:rsidP="0023193A">
      <w:pPr>
        <w:pStyle w:val="ListParagraph"/>
        <w:spacing w:after="0" w:line="240" w:lineRule="auto"/>
        <w:ind w:left="1800"/>
        <w:rPr>
          <w:sz w:val="24"/>
          <w:szCs w:val="24"/>
        </w:rPr>
      </w:pPr>
    </w:p>
    <w:p w:rsidR="00DF20FA" w:rsidRDefault="00DF20FA" w:rsidP="0023193A">
      <w:pPr>
        <w:pStyle w:val="ListParagraph"/>
        <w:spacing w:after="0" w:line="240" w:lineRule="auto"/>
        <w:ind w:left="1800"/>
        <w:rPr>
          <w:sz w:val="24"/>
          <w:szCs w:val="24"/>
        </w:rPr>
      </w:pPr>
    </w:p>
    <w:tbl>
      <w:tblPr>
        <w:tblStyle w:val="TableGrid"/>
        <w:tblW w:w="0" w:type="auto"/>
        <w:jc w:val="center"/>
        <w:tblLook w:val="04A0" w:firstRow="1" w:lastRow="0" w:firstColumn="1" w:lastColumn="0" w:noHBand="0" w:noVBand="1"/>
      </w:tblPr>
      <w:tblGrid>
        <w:gridCol w:w="1611"/>
        <w:gridCol w:w="1620"/>
        <w:gridCol w:w="1568"/>
        <w:gridCol w:w="1573"/>
        <w:gridCol w:w="1620"/>
        <w:gridCol w:w="1597"/>
        <w:gridCol w:w="1573"/>
        <w:gridCol w:w="1654"/>
      </w:tblGrid>
      <w:tr w:rsidR="00DF20FA" w:rsidRPr="003543CC" w:rsidTr="00B63439">
        <w:trPr>
          <w:trHeight w:val="449"/>
          <w:jc w:val="center"/>
        </w:trPr>
        <w:tc>
          <w:tcPr>
            <w:tcW w:w="12816" w:type="dxa"/>
            <w:gridSpan w:val="8"/>
            <w:tcBorders>
              <w:top w:val="nil"/>
              <w:left w:val="nil"/>
              <w:right w:val="nil"/>
            </w:tcBorders>
            <w:vAlign w:val="center"/>
          </w:tcPr>
          <w:p w:rsidR="00DF20FA" w:rsidRPr="003543CC" w:rsidRDefault="00DF20FA" w:rsidP="00DF20FA">
            <w:pPr>
              <w:pStyle w:val="ListParagraph"/>
              <w:ind w:left="0"/>
              <w:jc w:val="center"/>
              <w:rPr>
                <w:rFonts w:ascii="Arial Black" w:hAnsi="Arial Black"/>
                <w:b/>
                <w:sz w:val="24"/>
                <w:szCs w:val="24"/>
              </w:rPr>
            </w:pPr>
            <w:r w:rsidRPr="003543CC">
              <w:rPr>
                <w:rFonts w:ascii="Arial Black" w:hAnsi="Arial Black"/>
                <w:b/>
                <w:sz w:val="24"/>
                <w:szCs w:val="24"/>
              </w:rPr>
              <w:t xml:space="preserve">GAPS IN </w:t>
            </w:r>
            <w:r>
              <w:rPr>
                <w:rFonts w:ascii="Arial Black" w:hAnsi="Arial Black"/>
                <w:b/>
                <w:sz w:val="24"/>
                <w:szCs w:val="24"/>
              </w:rPr>
              <w:t>RETENTION</w:t>
            </w:r>
            <w:r w:rsidRPr="003543CC">
              <w:rPr>
                <w:rFonts w:ascii="Arial Black" w:hAnsi="Arial Black"/>
                <w:b/>
                <w:sz w:val="24"/>
                <w:szCs w:val="24"/>
              </w:rPr>
              <w:t xml:space="preserve"> RATES</w:t>
            </w:r>
          </w:p>
        </w:tc>
      </w:tr>
      <w:tr w:rsidR="00DF20FA" w:rsidRPr="003543CC" w:rsidTr="00B63439">
        <w:trPr>
          <w:jc w:val="center"/>
        </w:trPr>
        <w:tc>
          <w:tcPr>
            <w:tcW w:w="1611" w:type="dxa"/>
            <w:tcBorders>
              <w:right w:val="single" w:sz="18" w:space="0" w:color="auto"/>
            </w:tcBorders>
            <w:vAlign w:val="center"/>
          </w:tcPr>
          <w:p w:rsidR="00DF20FA" w:rsidRPr="003543CC" w:rsidRDefault="00DF20FA" w:rsidP="00B63439">
            <w:pPr>
              <w:pStyle w:val="ListParagraph"/>
              <w:ind w:left="0"/>
              <w:jc w:val="center"/>
              <w:rPr>
                <w:rFonts w:ascii="Arial Narrow" w:hAnsi="Arial Narrow"/>
                <w:b/>
                <w:sz w:val="24"/>
                <w:szCs w:val="24"/>
              </w:rPr>
            </w:pPr>
            <w:r w:rsidRPr="003543CC">
              <w:rPr>
                <w:rFonts w:ascii="Arial Narrow" w:hAnsi="Arial Narrow"/>
                <w:b/>
                <w:sz w:val="24"/>
                <w:szCs w:val="24"/>
              </w:rPr>
              <w:t>Term</w:t>
            </w:r>
          </w:p>
        </w:tc>
        <w:tc>
          <w:tcPr>
            <w:tcW w:w="1620" w:type="dxa"/>
            <w:tcBorders>
              <w:top w:val="single" w:sz="18" w:space="0" w:color="auto"/>
              <w:left w:val="single" w:sz="18" w:space="0" w:color="auto"/>
            </w:tcBorders>
            <w:vAlign w:val="center"/>
          </w:tcPr>
          <w:p w:rsidR="00DF20FA" w:rsidRPr="003543CC" w:rsidRDefault="00DF20FA" w:rsidP="00B63439">
            <w:pPr>
              <w:pStyle w:val="ListParagraph"/>
              <w:ind w:left="0"/>
              <w:jc w:val="center"/>
              <w:rPr>
                <w:rFonts w:ascii="Arial Narrow" w:hAnsi="Arial Narrow"/>
                <w:b/>
                <w:sz w:val="24"/>
                <w:szCs w:val="24"/>
              </w:rPr>
            </w:pPr>
            <w:r w:rsidRPr="003543CC">
              <w:rPr>
                <w:rFonts w:ascii="Arial Narrow" w:hAnsi="Arial Narrow"/>
                <w:b/>
                <w:sz w:val="24"/>
                <w:szCs w:val="24"/>
              </w:rPr>
              <w:t>Online</w:t>
            </w:r>
          </w:p>
        </w:tc>
        <w:tc>
          <w:tcPr>
            <w:tcW w:w="1568" w:type="dxa"/>
            <w:tcBorders>
              <w:top w:val="single" w:sz="18" w:space="0" w:color="auto"/>
            </w:tcBorders>
            <w:vAlign w:val="center"/>
          </w:tcPr>
          <w:p w:rsidR="00DF20FA" w:rsidRPr="003543CC" w:rsidRDefault="00DF20FA" w:rsidP="00B63439">
            <w:pPr>
              <w:pStyle w:val="ListParagraph"/>
              <w:ind w:left="0"/>
              <w:jc w:val="center"/>
              <w:rPr>
                <w:rFonts w:ascii="Arial Narrow" w:hAnsi="Arial Narrow"/>
                <w:b/>
                <w:sz w:val="24"/>
                <w:szCs w:val="24"/>
              </w:rPr>
            </w:pPr>
            <w:r w:rsidRPr="003543CC">
              <w:rPr>
                <w:rFonts w:ascii="Arial Narrow" w:hAnsi="Arial Narrow"/>
                <w:b/>
                <w:sz w:val="24"/>
                <w:szCs w:val="24"/>
              </w:rPr>
              <w:t>Day</w:t>
            </w:r>
          </w:p>
        </w:tc>
        <w:tc>
          <w:tcPr>
            <w:tcW w:w="1573" w:type="dxa"/>
            <w:tcBorders>
              <w:top w:val="single" w:sz="18" w:space="0" w:color="auto"/>
              <w:right w:val="single" w:sz="18" w:space="0" w:color="auto"/>
            </w:tcBorders>
            <w:vAlign w:val="center"/>
          </w:tcPr>
          <w:p w:rsidR="00DF20FA" w:rsidRPr="003543CC" w:rsidRDefault="00DF20FA" w:rsidP="00B63439">
            <w:pPr>
              <w:pStyle w:val="ListParagraph"/>
              <w:ind w:left="0"/>
              <w:jc w:val="center"/>
              <w:rPr>
                <w:rFonts w:ascii="Arial Narrow" w:hAnsi="Arial Narrow"/>
                <w:b/>
                <w:sz w:val="24"/>
                <w:szCs w:val="24"/>
              </w:rPr>
            </w:pPr>
            <w:r w:rsidRPr="003543CC">
              <w:rPr>
                <w:rFonts w:ascii="Arial Narrow" w:hAnsi="Arial Narrow"/>
                <w:b/>
                <w:sz w:val="24"/>
                <w:szCs w:val="24"/>
              </w:rPr>
              <w:t>Gap</w:t>
            </w:r>
          </w:p>
        </w:tc>
        <w:tc>
          <w:tcPr>
            <w:tcW w:w="1620" w:type="dxa"/>
            <w:tcBorders>
              <w:top w:val="single" w:sz="18" w:space="0" w:color="auto"/>
              <w:left w:val="single" w:sz="18" w:space="0" w:color="auto"/>
            </w:tcBorders>
            <w:vAlign w:val="center"/>
          </w:tcPr>
          <w:p w:rsidR="00DF20FA" w:rsidRPr="003543CC" w:rsidRDefault="00DF20FA" w:rsidP="00B63439">
            <w:pPr>
              <w:pStyle w:val="ListParagraph"/>
              <w:ind w:left="0"/>
              <w:jc w:val="center"/>
              <w:rPr>
                <w:rFonts w:ascii="Arial Narrow" w:hAnsi="Arial Narrow"/>
                <w:b/>
                <w:sz w:val="24"/>
                <w:szCs w:val="24"/>
              </w:rPr>
            </w:pPr>
            <w:r w:rsidRPr="003543CC">
              <w:rPr>
                <w:rFonts w:ascii="Arial Narrow" w:hAnsi="Arial Narrow"/>
                <w:b/>
                <w:sz w:val="24"/>
                <w:szCs w:val="24"/>
              </w:rPr>
              <w:t>Online</w:t>
            </w:r>
          </w:p>
        </w:tc>
        <w:tc>
          <w:tcPr>
            <w:tcW w:w="1597" w:type="dxa"/>
            <w:tcBorders>
              <w:top w:val="single" w:sz="18" w:space="0" w:color="auto"/>
            </w:tcBorders>
            <w:vAlign w:val="center"/>
          </w:tcPr>
          <w:p w:rsidR="00DF20FA" w:rsidRPr="003543CC" w:rsidRDefault="00DF20FA" w:rsidP="00B63439">
            <w:pPr>
              <w:pStyle w:val="ListParagraph"/>
              <w:ind w:left="0"/>
              <w:jc w:val="center"/>
              <w:rPr>
                <w:rFonts w:ascii="Arial Narrow" w:hAnsi="Arial Narrow"/>
                <w:b/>
                <w:sz w:val="24"/>
                <w:szCs w:val="24"/>
              </w:rPr>
            </w:pPr>
            <w:r w:rsidRPr="003543CC">
              <w:rPr>
                <w:rFonts w:ascii="Arial Narrow" w:hAnsi="Arial Narrow"/>
                <w:b/>
                <w:sz w:val="24"/>
                <w:szCs w:val="24"/>
              </w:rPr>
              <w:t>Night</w:t>
            </w:r>
          </w:p>
        </w:tc>
        <w:tc>
          <w:tcPr>
            <w:tcW w:w="1573" w:type="dxa"/>
            <w:tcBorders>
              <w:top w:val="single" w:sz="18" w:space="0" w:color="auto"/>
              <w:right w:val="single" w:sz="18" w:space="0" w:color="auto"/>
            </w:tcBorders>
            <w:vAlign w:val="center"/>
          </w:tcPr>
          <w:p w:rsidR="00DF20FA" w:rsidRPr="003543CC" w:rsidRDefault="00DF20FA" w:rsidP="00B63439">
            <w:pPr>
              <w:pStyle w:val="ListParagraph"/>
              <w:ind w:left="0"/>
              <w:jc w:val="center"/>
              <w:rPr>
                <w:rFonts w:ascii="Arial Narrow" w:hAnsi="Arial Narrow"/>
                <w:b/>
                <w:sz w:val="24"/>
                <w:szCs w:val="24"/>
              </w:rPr>
            </w:pPr>
            <w:r w:rsidRPr="003543CC">
              <w:rPr>
                <w:rFonts w:ascii="Arial Narrow" w:hAnsi="Arial Narrow"/>
                <w:b/>
                <w:sz w:val="24"/>
                <w:szCs w:val="24"/>
              </w:rPr>
              <w:t>Gap</w:t>
            </w:r>
          </w:p>
        </w:tc>
        <w:tc>
          <w:tcPr>
            <w:tcW w:w="1654" w:type="dxa"/>
            <w:tcBorders>
              <w:left w:val="single" w:sz="18" w:space="0" w:color="auto"/>
            </w:tcBorders>
            <w:vAlign w:val="center"/>
          </w:tcPr>
          <w:p w:rsidR="00DF20FA" w:rsidRPr="003543CC" w:rsidRDefault="00DF20FA" w:rsidP="00B63439">
            <w:pPr>
              <w:pStyle w:val="ListParagraph"/>
              <w:ind w:left="0"/>
              <w:jc w:val="center"/>
              <w:rPr>
                <w:rFonts w:ascii="Arial Narrow" w:hAnsi="Arial Narrow"/>
                <w:b/>
                <w:sz w:val="24"/>
                <w:szCs w:val="24"/>
              </w:rPr>
            </w:pPr>
            <w:r w:rsidRPr="003543CC">
              <w:rPr>
                <w:rFonts w:ascii="Arial Narrow" w:hAnsi="Arial Narrow"/>
                <w:b/>
                <w:sz w:val="24"/>
                <w:szCs w:val="24"/>
              </w:rPr>
              <w:t>Average Gap</w:t>
            </w:r>
          </w:p>
        </w:tc>
      </w:tr>
      <w:tr w:rsidR="00DF20FA" w:rsidRPr="003543CC" w:rsidTr="00B63439">
        <w:trPr>
          <w:jc w:val="center"/>
        </w:trPr>
        <w:tc>
          <w:tcPr>
            <w:tcW w:w="1611" w:type="dxa"/>
            <w:tcBorders>
              <w:right w:val="single" w:sz="18" w:space="0" w:color="auto"/>
            </w:tcBorders>
          </w:tcPr>
          <w:p w:rsidR="00DF20FA" w:rsidRPr="003543CC" w:rsidRDefault="00DF20FA" w:rsidP="00B63439">
            <w:pPr>
              <w:pStyle w:val="ListParagraph"/>
              <w:ind w:left="0"/>
              <w:rPr>
                <w:rFonts w:ascii="Arial Narrow" w:hAnsi="Arial Narrow"/>
                <w:sz w:val="24"/>
                <w:szCs w:val="24"/>
              </w:rPr>
            </w:pPr>
            <w:r>
              <w:rPr>
                <w:rFonts w:ascii="Arial Narrow" w:hAnsi="Arial Narrow"/>
                <w:sz w:val="24"/>
                <w:szCs w:val="24"/>
              </w:rPr>
              <w:t>Fall 2010</w:t>
            </w:r>
          </w:p>
        </w:tc>
        <w:tc>
          <w:tcPr>
            <w:tcW w:w="1620" w:type="dxa"/>
            <w:tcBorders>
              <w:left w:val="single" w:sz="18" w:space="0" w:color="auto"/>
            </w:tcBorders>
            <w:vAlign w:val="center"/>
          </w:tcPr>
          <w:p w:rsidR="00DF20FA" w:rsidRPr="003543CC" w:rsidRDefault="00DF20FA" w:rsidP="00DF20FA">
            <w:pPr>
              <w:pStyle w:val="ListParagraph"/>
              <w:ind w:left="0"/>
              <w:jc w:val="center"/>
              <w:rPr>
                <w:rFonts w:ascii="Arial Narrow" w:hAnsi="Arial Narrow"/>
                <w:sz w:val="24"/>
                <w:szCs w:val="24"/>
              </w:rPr>
            </w:pPr>
            <w:r>
              <w:rPr>
                <w:rFonts w:ascii="Arial Narrow" w:hAnsi="Arial Narrow"/>
                <w:sz w:val="24"/>
                <w:szCs w:val="24"/>
              </w:rPr>
              <w:t>75%</w:t>
            </w:r>
          </w:p>
        </w:tc>
        <w:tc>
          <w:tcPr>
            <w:tcW w:w="1568" w:type="dxa"/>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88%</w:t>
            </w:r>
          </w:p>
        </w:tc>
        <w:tc>
          <w:tcPr>
            <w:tcW w:w="1573" w:type="dxa"/>
            <w:tcBorders>
              <w:right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13%</w:t>
            </w:r>
          </w:p>
        </w:tc>
        <w:tc>
          <w:tcPr>
            <w:tcW w:w="1620" w:type="dxa"/>
            <w:tcBorders>
              <w:left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75%</w:t>
            </w:r>
          </w:p>
        </w:tc>
        <w:tc>
          <w:tcPr>
            <w:tcW w:w="1597" w:type="dxa"/>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87%</w:t>
            </w:r>
          </w:p>
        </w:tc>
        <w:tc>
          <w:tcPr>
            <w:tcW w:w="1573" w:type="dxa"/>
            <w:tcBorders>
              <w:right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12%</w:t>
            </w:r>
          </w:p>
        </w:tc>
        <w:tc>
          <w:tcPr>
            <w:tcW w:w="1654" w:type="dxa"/>
            <w:tcBorders>
              <w:left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12.5%</w:t>
            </w:r>
          </w:p>
        </w:tc>
      </w:tr>
      <w:tr w:rsidR="00DF20FA" w:rsidRPr="003543CC" w:rsidTr="00B63439">
        <w:trPr>
          <w:jc w:val="center"/>
        </w:trPr>
        <w:tc>
          <w:tcPr>
            <w:tcW w:w="1611" w:type="dxa"/>
            <w:tcBorders>
              <w:right w:val="single" w:sz="18" w:space="0" w:color="auto"/>
            </w:tcBorders>
          </w:tcPr>
          <w:p w:rsidR="00DF20FA" w:rsidRDefault="00DF20FA" w:rsidP="00B63439">
            <w:pPr>
              <w:pStyle w:val="ListParagraph"/>
              <w:ind w:left="0"/>
              <w:rPr>
                <w:rFonts w:ascii="Arial Narrow" w:hAnsi="Arial Narrow"/>
                <w:sz w:val="24"/>
                <w:szCs w:val="24"/>
              </w:rPr>
            </w:pPr>
            <w:r>
              <w:rPr>
                <w:rFonts w:ascii="Arial Narrow" w:hAnsi="Arial Narrow"/>
                <w:sz w:val="24"/>
                <w:szCs w:val="24"/>
              </w:rPr>
              <w:t>Spring 2011</w:t>
            </w:r>
          </w:p>
        </w:tc>
        <w:tc>
          <w:tcPr>
            <w:tcW w:w="1620" w:type="dxa"/>
            <w:tcBorders>
              <w:left w:val="single" w:sz="18" w:space="0" w:color="auto"/>
            </w:tcBorders>
            <w:vAlign w:val="center"/>
          </w:tcPr>
          <w:p w:rsidR="00DF20FA" w:rsidRPr="003543CC" w:rsidRDefault="00DF20FA" w:rsidP="00B63439">
            <w:pPr>
              <w:pStyle w:val="ListParagraph"/>
              <w:ind w:left="0"/>
              <w:jc w:val="center"/>
              <w:rPr>
                <w:rFonts w:ascii="Arial Narrow" w:hAnsi="Arial Narrow"/>
                <w:sz w:val="24"/>
                <w:szCs w:val="24"/>
              </w:rPr>
            </w:pPr>
            <w:r>
              <w:rPr>
                <w:rFonts w:ascii="Arial Narrow" w:hAnsi="Arial Narrow"/>
                <w:sz w:val="24"/>
                <w:szCs w:val="24"/>
              </w:rPr>
              <w:t>77%</w:t>
            </w:r>
          </w:p>
        </w:tc>
        <w:tc>
          <w:tcPr>
            <w:tcW w:w="1568" w:type="dxa"/>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87%</w:t>
            </w:r>
          </w:p>
        </w:tc>
        <w:tc>
          <w:tcPr>
            <w:tcW w:w="1573" w:type="dxa"/>
            <w:tcBorders>
              <w:right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10%</w:t>
            </w:r>
          </w:p>
        </w:tc>
        <w:tc>
          <w:tcPr>
            <w:tcW w:w="1620" w:type="dxa"/>
            <w:tcBorders>
              <w:left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77%</w:t>
            </w:r>
          </w:p>
        </w:tc>
        <w:tc>
          <w:tcPr>
            <w:tcW w:w="1597" w:type="dxa"/>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86%</w:t>
            </w:r>
          </w:p>
        </w:tc>
        <w:tc>
          <w:tcPr>
            <w:tcW w:w="1573" w:type="dxa"/>
            <w:tcBorders>
              <w:right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9%</w:t>
            </w:r>
          </w:p>
        </w:tc>
        <w:tc>
          <w:tcPr>
            <w:tcW w:w="1654" w:type="dxa"/>
            <w:tcBorders>
              <w:left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9.5%</w:t>
            </w:r>
          </w:p>
        </w:tc>
      </w:tr>
      <w:tr w:rsidR="00DF20FA" w:rsidRPr="003543CC" w:rsidTr="00B63439">
        <w:trPr>
          <w:jc w:val="center"/>
        </w:trPr>
        <w:tc>
          <w:tcPr>
            <w:tcW w:w="1611" w:type="dxa"/>
            <w:tcBorders>
              <w:right w:val="single" w:sz="18" w:space="0" w:color="auto"/>
            </w:tcBorders>
          </w:tcPr>
          <w:p w:rsidR="00DF20FA" w:rsidRDefault="00DF20FA" w:rsidP="00B63439">
            <w:pPr>
              <w:pStyle w:val="ListParagraph"/>
              <w:ind w:left="0"/>
              <w:rPr>
                <w:rFonts w:ascii="Arial Narrow" w:hAnsi="Arial Narrow"/>
                <w:sz w:val="24"/>
                <w:szCs w:val="24"/>
              </w:rPr>
            </w:pPr>
            <w:r>
              <w:rPr>
                <w:rFonts w:ascii="Arial Narrow" w:hAnsi="Arial Narrow"/>
                <w:sz w:val="24"/>
                <w:szCs w:val="24"/>
              </w:rPr>
              <w:t>Fall 2011</w:t>
            </w:r>
          </w:p>
        </w:tc>
        <w:tc>
          <w:tcPr>
            <w:tcW w:w="1620" w:type="dxa"/>
            <w:tcBorders>
              <w:left w:val="single" w:sz="18" w:space="0" w:color="auto"/>
            </w:tcBorders>
            <w:vAlign w:val="center"/>
          </w:tcPr>
          <w:p w:rsidR="00DF20FA" w:rsidRPr="003543CC" w:rsidRDefault="00DF20FA" w:rsidP="00B63439">
            <w:pPr>
              <w:pStyle w:val="ListParagraph"/>
              <w:ind w:left="0"/>
              <w:jc w:val="center"/>
              <w:rPr>
                <w:rFonts w:ascii="Arial Narrow" w:hAnsi="Arial Narrow"/>
                <w:sz w:val="24"/>
                <w:szCs w:val="24"/>
              </w:rPr>
            </w:pPr>
            <w:r>
              <w:rPr>
                <w:rFonts w:ascii="Arial Narrow" w:hAnsi="Arial Narrow"/>
                <w:sz w:val="24"/>
                <w:szCs w:val="24"/>
              </w:rPr>
              <w:t>77%</w:t>
            </w:r>
          </w:p>
        </w:tc>
        <w:tc>
          <w:tcPr>
            <w:tcW w:w="1568" w:type="dxa"/>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88%</w:t>
            </w:r>
          </w:p>
        </w:tc>
        <w:tc>
          <w:tcPr>
            <w:tcW w:w="1573" w:type="dxa"/>
            <w:tcBorders>
              <w:right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11%</w:t>
            </w:r>
          </w:p>
        </w:tc>
        <w:tc>
          <w:tcPr>
            <w:tcW w:w="1620" w:type="dxa"/>
            <w:tcBorders>
              <w:left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77%</w:t>
            </w:r>
          </w:p>
        </w:tc>
        <w:tc>
          <w:tcPr>
            <w:tcW w:w="1597" w:type="dxa"/>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86%</w:t>
            </w:r>
          </w:p>
        </w:tc>
        <w:tc>
          <w:tcPr>
            <w:tcW w:w="1573" w:type="dxa"/>
            <w:tcBorders>
              <w:right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9%</w:t>
            </w:r>
          </w:p>
        </w:tc>
        <w:tc>
          <w:tcPr>
            <w:tcW w:w="1654" w:type="dxa"/>
            <w:tcBorders>
              <w:left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10%</w:t>
            </w:r>
          </w:p>
        </w:tc>
      </w:tr>
      <w:tr w:rsidR="00DF20FA" w:rsidRPr="003543CC" w:rsidTr="00B63439">
        <w:trPr>
          <w:jc w:val="center"/>
        </w:trPr>
        <w:tc>
          <w:tcPr>
            <w:tcW w:w="1611" w:type="dxa"/>
            <w:tcBorders>
              <w:right w:val="single" w:sz="18" w:space="0" w:color="auto"/>
            </w:tcBorders>
          </w:tcPr>
          <w:p w:rsidR="00DF20FA" w:rsidRDefault="00DF20FA" w:rsidP="00B63439">
            <w:pPr>
              <w:pStyle w:val="ListParagraph"/>
              <w:ind w:left="0"/>
              <w:rPr>
                <w:rFonts w:ascii="Arial Narrow" w:hAnsi="Arial Narrow"/>
                <w:sz w:val="24"/>
                <w:szCs w:val="24"/>
              </w:rPr>
            </w:pPr>
            <w:r>
              <w:rPr>
                <w:rFonts w:ascii="Arial Narrow" w:hAnsi="Arial Narrow"/>
                <w:sz w:val="24"/>
                <w:szCs w:val="24"/>
              </w:rPr>
              <w:t>Spring 2012</w:t>
            </w:r>
          </w:p>
        </w:tc>
        <w:tc>
          <w:tcPr>
            <w:tcW w:w="1620" w:type="dxa"/>
            <w:tcBorders>
              <w:left w:val="single" w:sz="18" w:space="0" w:color="auto"/>
            </w:tcBorders>
            <w:vAlign w:val="center"/>
          </w:tcPr>
          <w:p w:rsidR="00DF20FA" w:rsidRPr="003543CC" w:rsidRDefault="00DF20FA" w:rsidP="00B63439">
            <w:pPr>
              <w:pStyle w:val="ListParagraph"/>
              <w:ind w:left="0"/>
              <w:jc w:val="center"/>
              <w:rPr>
                <w:rFonts w:ascii="Arial Narrow" w:hAnsi="Arial Narrow"/>
                <w:sz w:val="24"/>
                <w:szCs w:val="24"/>
              </w:rPr>
            </w:pPr>
            <w:r>
              <w:rPr>
                <w:rFonts w:ascii="Arial Narrow" w:hAnsi="Arial Narrow"/>
                <w:sz w:val="24"/>
                <w:szCs w:val="24"/>
              </w:rPr>
              <w:t>81%</w:t>
            </w:r>
          </w:p>
        </w:tc>
        <w:tc>
          <w:tcPr>
            <w:tcW w:w="1568" w:type="dxa"/>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89%</w:t>
            </w:r>
          </w:p>
        </w:tc>
        <w:tc>
          <w:tcPr>
            <w:tcW w:w="1573" w:type="dxa"/>
            <w:tcBorders>
              <w:right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8%</w:t>
            </w:r>
          </w:p>
        </w:tc>
        <w:tc>
          <w:tcPr>
            <w:tcW w:w="1620" w:type="dxa"/>
            <w:tcBorders>
              <w:left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81%</w:t>
            </w:r>
          </w:p>
        </w:tc>
        <w:tc>
          <w:tcPr>
            <w:tcW w:w="1597" w:type="dxa"/>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88%</w:t>
            </w:r>
          </w:p>
        </w:tc>
        <w:tc>
          <w:tcPr>
            <w:tcW w:w="1573" w:type="dxa"/>
            <w:tcBorders>
              <w:right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7%</w:t>
            </w:r>
          </w:p>
        </w:tc>
        <w:tc>
          <w:tcPr>
            <w:tcW w:w="1654" w:type="dxa"/>
            <w:tcBorders>
              <w:left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7.5%</w:t>
            </w:r>
          </w:p>
        </w:tc>
      </w:tr>
      <w:tr w:rsidR="00DF20FA" w:rsidRPr="003543CC" w:rsidTr="00B63439">
        <w:trPr>
          <w:jc w:val="center"/>
        </w:trPr>
        <w:tc>
          <w:tcPr>
            <w:tcW w:w="1611" w:type="dxa"/>
            <w:tcBorders>
              <w:bottom w:val="single" w:sz="4" w:space="0" w:color="auto"/>
              <w:right w:val="single" w:sz="18" w:space="0" w:color="auto"/>
            </w:tcBorders>
          </w:tcPr>
          <w:p w:rsidR="00DF20FA" w:rsidRDefault="00DF20FA" w:rsidP="00B63439">
            <w:pPr>
              <w:pStyle w:val="ListParagraph"/>
              <w:ind w:left="0"/>
              <w:rPr>
                <w:rFonts w:ascii="Arial Narrow" w:hAnsi="Arial Narrow"/>
                <w:sz w:val="24"/>
                <w:szCs w:val="24"/>
              </w:rPr>
            </w:pPr>
            <w:r>
              <w:rPr>
                <w:rFonts w:ascii="Arial Narrow" w:hAnsi="Arial Narrow"/>
                <w:sz w:val="24"/>
                <w:szCs w:val="24"/>
              </w:rPr>
              <w:t>Fall 2012</w:t>
            </w:r>
          </w:p>
        </w:tc>
        <w:tc>
          <w:tcPr>
            <w:tcW w:w="1620" w:type="dxa"/>
            <w:tcBorders>
              <w:left w:val="single" w:sz="18" w:space="0" w:color="auto"/>
              <w:bottom w:val="single" w:sz="18" w:space="0" w:color="auto"/>
            </w:tcBorders>
            <w:vAlign w:val="center"/>
          </w:tcPr>
          <w:p w:rsidR="00DF20FA" w:rsidRPr="003543CC" w:rsidRDefault="00DF20FA" w:rsidP="00B63439">
            <w:pPr>
              <w:pStyle w:val="ListParagraph"/>
              <w:ind w:left="0"/>
              <w:jc w:val="center"/>
              <w:rPr>
                <w:rFonts w:ascii="Arial Narrow" w:hAnsi="Arial Narrow"/>
                <w:sz w:val="24"/>
                <w:szCs w:val="24"/>
              </w:rPr>
            </w:pPr>
            <w:r>
              <w:rPr>
                <w:rFonts w:ascii="Arial Narrow" w:hAnsi="Arial Narrow"/>
                <w:sz w:val="24"/>
                <w:szCs w:val="24"/>
              </w:rPr>
              <w:t>76%</w:t>
            </w:r>
          </w:p>
        </w:tc>
        <w:tc>
          <w:tcPr>
            <w:tcW w:w="1568" w:type="dxa"/>
            <w:tcBorders>
              <w:bottom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89%</w:t>
            </w:r>
          </w:p>
        </w:tc>
        <w:tc>
          <w:tcPr>
            <w:tcW w:w="1573" w:type="dxa"/>
            <w:tcBorders>
              <w:bottom w:val="single" w:sz="18" w:space="0" w:color="auto"/>
              <w:right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13%</w:t>
            </w:r>
          </w:p>
        </w:tc>
        <w:tc>
          <w:tcPr>
            <w:tcW w:w="1620" w:type="dxa"/>
            <w:tcBorders>
              <w:left w:val="single" w:sz="18" w:space="0" w:color="auto"/>
              <w:bottom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76%</w:t>
            </w:r>
          </w:p>
        </w:tc>
        <w:tc>
          <w:tcPr>
            <w:tcW w:w="1597" w:type="dxa"/>
            <w:tcBorders>
              <w:bottom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88%</w:t>
            </w:r>
          </w:p>
        </w:tc>
        <w:tc>
          <w:tcPr>
            <w:tcW w:w="1573" w:type="dxa"/>
            <w:tcBorders>
              <w:bottom w:val="single" w:sz="18" w:space="0" w:color="auto"/>
              <w:right w:val="single" w:sz="18"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12%</w:t>
            </w:r>
          </w:p>
        </w:tc>
        <w:tc>
          <w:tcPr>
            <w:tcW w:w="1654" w:type="dxa"/>
            <w:tcBorders>
              <w:left w:val="single" w:sz="18" w:space="0" w:color="auto"/>
              <w:bottom w:val="single" w:sz="4" w:space="0" w:color="auto"/>
            </w:tcBorders>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12.5%</w:t>
            </w:r>
          </w:p>
        </w:tc>
      </w:tr>
      <w:tr w:rsidR="00DF20FA" w:rsidRPr="003543CC" w:rsidTr="00B63439">
        <w:trPr>
          <w:jc w:val="center"/>
        </w:trPr>
        <w:tc>
          <w:tcPr>
            <w:tcW w:w="1611" w:type="dxa"/>
            <w:shd w:val="clear" w:color="auto" w:fill="D9D9D9" w:themeFill="background1" w:themeFillShade="D9"/>
          </w:tcPr>
          <w:p w:rsidR="00DF20FA" w:rsidRDefault="00DF20FA" w:rsidP="00B63439">
            <w:pPr>
              <w:pStyle w:val="ListParagraph"/>
              <w:ind w:left="0"/>
              <w:rPr>
                <w:rFonts w:ascii="Arial Narrow" w:hAnsi="Arial Narrow"/>
                <w:sz w:val="24"/>
                <w:szCs w:val="24"/>
              </w:rPr>
            </w:pPr>
            <w:r>
              <w:rPr>
                <w:rFonts w:ascii="Arial Narrow" w:hAnsi="Arial Narrow"/>
                <w:sz w:val="24"/>
                <w:szCs w:val="24"/>
              </w:rPr>
              <w:t>Spring 2013*</w:t>
            </w:r>
          </w:p>
        </w:tc>
        <w:tc>
          <w:tcPr>
            <w:tcW w:w="1620" w:type="dxa"/>
            <w:tcBorders>
              <w:top w:val="single" w:sz="18" w:space="0" w:color="auto"/>
              <w:bottom w:val="single" w:sz="18" w:space="0" w:color="auto"/>
            </w:tcBorders>
            <w:shd w:val="clear" w:color="auto" w:fill="D9D9D9" w:themeFill="background1" w:themeFillShade="D9"/>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95%</w:t>
            </w:r>
          </w:p>
        </w:tc>
        <w:tc>
          <w:tcPr>
            <w:tcW w:w="1568" w:type="dxa"/>
            <w:tcBorders>
              <w:top w:val="single" w:sz="18" w:space="0" w:color="auto"/>
              <w:bottom w:val="single" w:sz="18" w:space="0" w:color="auto"/>
            </w:tcBorders>
            <w:shd w:val="clear" w:color="auto" w:fill="D9D9D9" w:themeFill="background1" w:themeFillShade="D9"/>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87%</w:t>
            </w:r>
          </w:p>
        </w:tc>
        <w:tc>
          <w:tcPr>
            <w:tcW w:w="1573" w:type="dxa"/>
            <w:tcBorders>
              <w:top w:val="single" w:sz="18" w:space="0" w:color="auto"/>
              <w:bottom w:val="single" w:sz="18" w:space="0" w:color="auto"/>
            </w:tcBorders>
            <w:shd w:val="clear" w:color="auto" w:fill="D9D9D9" w:themeFill="background1" w:themeFillShade="D9"/>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w:t>
            </w:r>
            <w:r w:rsidRPr="002E782E">
              <w:rPr>
                <w:rFonts w:ascii="Arial Narrow" w:hAnsi="Arial Narrow"/>
                <w:sz w:val="24"/>
                <w:szCs w:val="24"/>
              </w:rPr>
              <w:t>8%</w:t>
            </w:r>
          </w:p>
        </w:tc>
        <w:tc>
          <w:tcPr>
            <w:tcW w:w="1620" w:type="dxa"/>
            <w:tcBorders>
              <w:top w:val="single" w:sz="18" w:space="0" w:color="auto"/>
              <w:bottom w:val="single" w:sz="18" w:space="0" w:color="auto"/>
            </w:tcBorders>
            <w:shd w:val="clear" w:color="auto" w:fill="D9D9D9" w:themeFill="background1" w:themeFillShade="D9"/>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95%</w:t>
            </w:r>
          </w:p>
        </w:tc>
        <w:tc>
          <w:tcPr>
            <w:tcW w:w="1597" w:type="dxa"/>
            <w:tcBorders>
              <w:top w:val="single" w:sz="18" w:space="0" w:color="auto"/>
              <w:bottom w:val="single" w:sz="18" w:space="0" w:color="auto"/>
            </w:tcBorders>
            <w:shd w:val="clear" w:color="auto" w:fill="D9D9D9" w:themeFill="background1" w:themeFillShade="D9"/>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87%</w:t>
            </w:r>
          </w:p>
        </w:tc>
        <w:tc>
          <w:tcPr>
            <w:tcW w:w="1573" w:type="dxa"/>
            <w:tcBorders>
              <w:top w:val="single" w:sz="18" w:space="0" w:color="auto"/>
              <w:bottom w:val="single" w:sz="18" w:space="0" w:color="auto"/>
            </w:tcBorders>
            <w:shd w:val="clear" w:color="auto" w:fill="D9D9D9" w:themeFill="background1" w:themeFillShade="D9"/>
            <w:vAlign w:val="center"/>
          </w:tcPr>
          <w:p w:rsidR="00DF20FA" w:rsidRPr="003543CC" w:rsidRDefault="002E782E" w:rsidP="00B63439">
            <w:pPr>
              <w:pStyle w:val="ListParagraph"/>
              <w:ind w:left="0"/>
              <w:jc w:val="center"/>
              <w:rPr>
                <w:rFonts w:ascii="Arial Narrow" w:hAnsi="Arial Narrow"/>
                <w:sz w:val="24"/>
                <w:szCs w:val="24"/>
              </w:rPr>
            </w:pPr>
            <w:r w:rsidRPr="002E782E">
              <w:rPr>
                <w:rFonts w:ascii="Arial Narrow" w:hAnsi="Arial Narrow"/>
                <w:sz w:val="24"/>
                <w:szCs w:val="24"/>
              </w:rPr>
              <w:t>+8%</w:t>
            </w:r>
          </w:p>
        </w:tc>
        <w:tc>
          <w:tcPr>
            <w:tcW w:w="1654" w:type="dxa"/>
            <w:shd w:val="clear" w:color="auto" w:fill="D9D9D9" w:themeFill="background1" w:themeFillShade="D9"/>
            <w:vAlign w:val="center"/>
          </w:tcPr>
          <w:p w:rsidR="00DF20FA" w:rsidRPr="003543CC" w:rsidRDefault="002E782E" w:rsidP="00B63439">
            <w:pPr>
              <w:pStyle w:val="ListParagraph"/>
              <w:ind w:left="0"/>
              <w:jc w:val="center"/>
              <w:rPr>
                <w:rFonts w:ascii="Arial Narrow" w:hAnsi="Arial Narrow"/>
                <w:sz w:val="24"/>
                <w:szCs w:val="24"/>
              </w:rPr>
            </w:pPr>
            <w:r>
              <w:rPr>
                <w:rFonts w:ascii="Arial Narrow" w:hAnsi="Arial Narrow"/>
                <w:sz w:val="24"/>
                <w:szCs w:val="24"/>
              </w:rPr>
              <w:t>+8%</w:t>
            </w:r>
          </w:p>
        </w:tc>
      </w:tr>
      <w:tr w:rsidR="00DF20FA" w:rsidRPr="003543CC" w:rsidTr="00B63439">
        <w:trPr>
          <w:jc w:val="center"/>
        </w:trPr>
        <w:tc>
          <w:tcPr>
            <w:tcW w:w="1611" w:type="dxa"/>
            <w:tcBorders>
              <w:right w:val="single" w:sz="18" w:space="0" w:color="auto"/>
            </w:tcBorders>
            <w:shd w:val="clear" w:color="auto" w:fill="FFFFFF" w:themeFill="background1"/>
          </w:tcPr>
          <w:p w:rsidR="00DF20FA" w:rsidRPr="00323618" w:rsidRDefault="00DF20FA" w:rsidP="00B63439">
            <w:pPr>
              <w:pStyle w:val="ListParagraph"/>
              <w:ind w:left="0"/>
              <w:rPr>
                <w:rFonts w:ascii="Arial Narrow" w:hAnsi="Arial Narrow"/>
                <w:b/>
                <w:sz w:val="24"/>
                <w:szCs w:val="24"/>
              </w:rPr>
            </w:pPr>
            <w:r w:rsidRPr="00323618">
              <w:rPr>
                <w:rFonts w:ascii="Arial Narrow" w:hAnsi="Arial Narrow"/>
                <w:b/>
                <w:sz w:val="24"/>
                <w:szCs w:val="24"/>
              </w:rPr>
              <w:t>Average</w:t>
            </w:r>
          </w:p>
        </w:tc>
        <w:tc>
          <w:tcPr>
            <w:tcW w:w="1620" w:type="dxa"/>
            <w:tcBorders>
              <w:top w:val="single" w:sz="18" w:space="0" w:color="auto"/>
              <w:left w:val="single" w:sz="18" w:space="0" w:color="auto"/>
              <w:bottom w:val="single" w:sz="18" w:space="0" w:color="auto"/>
            </w:tcBorders>
            <w:shd w:val="clear" w:color="auto" w:fill="FFFFFF" w:themeFill="background1"/>
            <w:vAlign w:val="center"/>
          </w:tcPr>
          <w:p w:rsidR="00DF20FA" w:rsidRDefault="002E782E" w:rsidP="00B63439">
            <w:pPr>
              <w:pStyle w:val="ListParagraph"/>
              <w:ind w:left="0"/>
              <w:jc w:val="center"/>
              <w:rPr>
                <w:rFonts w:ascii="Arial Narrow" w:hAnsi="Arial Narrow"/>
                <w:sz w:val="24"/>
                <w:szCs w:val="24"/>
              </w:rPr>
            </w:pPr>
            <w:r>
              <w:rPr>
                <w:rFonts w:ascii="Arial Narrow" w:hAnsi="Arial Narrow"/>
                <w:sz w:val="24"/>
                <w:szCs w:val="24"/>
              </w:rPr>
              <w:t>77.2%</w:t>
            </w:r>
          </w:p>
        </w:tc>
        <w:tc>
          <w:tcPr>
            <w:tcW w:w="1568" w:type="dxa"/>
            <w:tcBorders>
              <w:top w:val="single" w:sz="18" w:space="0" w:color="auto"/>
              <w:bottom w:val="single" w:sz="18" w:space="0" w:color="auto"/>
            </w:tcBorders>
            <w:shd w:val="clear" w:color="auto" w:fill="FFFFFF" w:themeFill="background1"/>
            <w:vAlign w:val="center"/>
          </w:tcPr>
          <w:p w:rsidR="00DF20FA" w:rsidRDefault="002E782E" w:rsidP="00B63439">
            <w:pPr>
              <w:pStyle w:val="ListParagraph"/>
              <w:ind w:left="0"/>
              <w:jc w:val="center"/>
              <w:rPr>
                <w:rFonts w:ascii="Arial Narrow" w:hAnsi="Arial Narrow"/>
                <w:sz w:val="24"/>
                <w:szCs w:val="24"/>
              </w:rPr>
            </w:pPr>
            <w:r>
              <w:rPr>
                <w:rFonts w:ascii="Arial Narrow" w:hAnsi="Arial Narrow"/>
                <w:sz w:val="24"/>
                <w:szCs w:val="24"/>
              </w:rPr>
              <w:t>88.2%</w:t>
            </w:r>
          </w:p>
        </w:tc>
        <w:tc>
          <w:tcPr>
            <w:tcW w:w="1573" w:type="dxa"/>
            <w:tcBorders>
              <w:top w:val="single" w:sz="18" w:space="0" w:color="auto"/>
              <w:bottom w:val="single" w:sz="18" w:space="0" w:color="auto"/>
              <w:right w:val="single" w:sz="18" w:space="0" w:color="auto"/>
            </w:tcBorders>
            <w:shd w:val="clear" w:color="auto" w:fill="FFFFFF" w:themeFill="background1"/>
            <w:vAlign w:val="center"/>
          </w:tcPr>
          <w:p w:rsidR="00DF20FA" w:rsidRDefault="002E782E" w:rsidP="00B63439">
            <w:pPr>
              <w:pStyle w:val="ListParagraph"/>
              <w:ind w:left="0"/>
              <w:jc w:val="center"/>
              <w:rPr>
                <w:rFonts w:ascii="Arial Narrow" w:hAnsi="Arial Narrow"/>
                <w:sz w:val="24"/>
                <w:szCs w:val="24"/>
              </w:rPr>
            </w:pPr>
            <w:r>
              <w:rPr>
                <w:rFonts w:ascii="Arial Narrow" w:hAnsi="Arial Narrow"/>
                <w:sz w:val="24"/>
                <w:szCs w:val="24"/>
              </w:rPr>
              <w:t>11%</w:t>
            </w:r>
          </w:p>
        </w:tc>
        <w:tc>
          <w:tcPr>
            <w:tcW w:w="1620" w:type="dxa"/>
            <w:tcBorders>
              <w:top w:val="single" w:sz="18" w:space="0" w:color="auto"/>
              <w:left w:val="single" w:sz="18" w:space="0" w:color="auto"/>
              <w:bottom w:val="single" w:sz="18" w:space="0" w:color="auto"/>
            </w:tcBorders>
            <w:shd w:val="clear" w:color="auto" w:fill="FFFFFF" w:themeFill="background1"/>
            <w:vAlign w:val="center"/>
          </w:tcPr>
          <w:p w:rsidR="00DF20FA" w:rsidRDefault="002E782E" w:rsidP="00B63439">
            <w:pPr>
              <w:pStyle w:val="ListParagraph"/>
              <w:ind w:left="0"/>
              <w:jc w:val="center"/>
              <w:rPr>
                <w:rFonts w:ascii="Arial Narrow" w:hAnsi="Arial Narrow"/>
                <w:sz w:val="24"/>
                <w:szCs w:val="24"/>
              </w:rPr>
            </w:pPr>
            <w:r>
              <w:rPr>
                <w:rFonts w:ascii="Arial Narrow" w:hAnsi="Arial Narrow"/>
                <w:sz w:val="24"/>
                <w:szCs w:val="24"/>
              </w:rPr>
              <w:t>77.2%</w:t>
            </w:r>
          </w:p>
        </w:tc>
        <w:tc>
          <w:tcPr>
            <w:tcW w:w="1597" w:type="dxa"/>
            <w:tcBorders>
              <w:top w:val="single" w:sz="18" w:space="0" w:color="auto"/>
              <w:bottom w:val="single" w:sz="18" w:space="0" w:color="auto"/>
            </w:tcBorders>
            <w:shd w:val="clear" w:color="auto" w:fill="FFFFFF" w:themeFill="background1"/>
            <w:vAlign w:val="center"/>
          </w:tcPr>
          <w:p w:rsidR="00DF20FA" w:rsidRDefault="002E782E" w:rsidP="00B63439">
            <w:pPr>
              <w:pStyle w:val="ListParagraph"/>
              <w:ind w:left="0"/>
              <w:jc w:val="center"/>
              <w:rPr>
                <w:rFonts w:ascii="Arial Narrow" w:hAnsi="Arial Narrow"/>
                <w:sz w:val="24"/>
                <w:szCs w:val="24"/>
              </w:rPr>
            </w:pPr>
            <w:r>
              <w:rPr>
                <w:rFonts w:ascii="Arial Narrow" w:hAnsi="Arial Narrow"/>
                <w:sz w:val="24"/>
                <w:szCs w:val="24"/>
              </w:rPr>
              <w:t>87%</w:t>
            </w:r>
          </w:p>
        </w:tc>
        <w:tc>
          <w:tcPr>
            <w:tcW w:w="1573" w:type="dxa"/>
            <w:tcBorders>
              <w:top w:val="single" w:sz="18" w:space="0" w:color="auto"/>
              <w:bottom w:val="single" w:sz="18" w:space="0" w:color="auto"/>
              <w:right w:val="single" w:sz="18" w:space="0" w:color="auto"/>
            </w:tcBorders>
            <w:shd w:val="clear" w:color="auto" w:fill="FFFFFF" w:themeFill="background1"/>
            <w:vAlign w:val="center"/>
          </w:tcPr>
          <w:p w:rsidR="00DF20FA" w:rsidRDefault="002E782E" w:rsidP="00B63439">
            <w:pPr>
              <w:pStyle w:val="ListParagraph"/>
              <w:ind w:left="0"/>
              <w:jc w:val="center"/>
              <w:rPr>
                <w:rFonts w:ascii="Arial Narrow" w:hAnsi="Arial Narrow"/>
                <w:sz w:val="24"/>
                <w:szCs w:val="24"/>
              </w:rPr>
            </w:pPr>
            <w:r>
              <w:rPr>
                <w:rFonts w:ascii="Arial Narrow" w:hAnsi="Arial Narrow"/>
                <w:sz w:val="24"/>
                <w:szCs w:val="24"/>
              </w:rPr>
              <w:t>9.8%</w:t>
            </w:r>
          </w:p>
        </w:tc>
        <w:tc>
          <w:tcPr>
            <w:tcW w:w="1654" w:type="dxa"/>
            <w:tcBorders>
              <w:left w:val="single" w:sz="18" w:space="0" w:color="auto"/>
            </w:tcBorders>
            <w:shd w:val="clear" w:color="auto" w:fill="FFFFFF" w:themeFill="background1"/>
            <w:vAlign w:val="center"/>
          </w:tcPr>
          <w:p w:rsidR="00DF20FA" w:rsidRPr="00323618" w:rsidRDefault="002E782E" w:rsidP="00B63439">
            <w:pPr>
              <w:pStyle w:val="ListParagraph"/>
              <w:ind w:left="0"/>
              <w:jc w:val="center"/>
              <w:rPr>
                <w:rFonts w:ascii="Arial Narrow" w:hAnsi="Arial Narrow"/>
                <w:b/>
                <w:sz w:val="24"/>
                <w:szCs w:val="24"/>
              </w:rPr>
            </w:pPr>
            <w:r>
              <w:rPr>
                <w:rFonts w:ascii="Arial Narrow" w:hAnsi="Arial Narrow"/>
                <w:b/>
                <w:sz w:val="24"/>
                <w:szCs w:val="24"/>
              </w:rPr>
              <w:t>10.4%</w:t>
            </w:r>
          </w:p>
        </w:tc>
      </w:tr>
    </w:tbl>
    <w:p w:rsidR="00555678" w:rsidRPr="00DF20FA" w:rsidRDefault="00555678" w:rsidP="00555678">
      <w:pPr>
        <w:spacing w:after="0" w:line="240" w:lineRule="auto"/>
        <w:rPr>
          <w:sz w:val="16"/>
          <w:szCs w:val="16"/>
        </w:rPr>
      </w:pPr>
    </w:p>
    <w:p w:rsidR="00DF20FA" w:rsidRDefault="00DF20FA" w:rsidP="00DF20FA">
      <w:pPr>
        <w:pStyle w:val="ListParagraph"/>
        <w:spacing w:after="0" w:line="240" w:lineRule="auto"/>
        <w:rPr>
          <w:i/>
          <w:sz w:val="24"/>
          <w:szCs w:val="24"/>
        </w:rPr>
      </w:pPr>
      <w:r w:rsidRPr="00731606">
        <w:rPr>
          <w:i/>
          <w:sz w:val="24"/>
          <w:szCs w:val="24"/>
        </w:rPr>
        <w:t>*Spring 2013 only included 45 online students.  The data for this term is skewed due to low enrollment</w:t>
      </w:r>
      <w:r>
        <w:rPr>
          <w:i/>
          <w:sz w:val="24"/>
          <w:szCs w:val="24"/>
        </w:rPr>
        <w:t xml:space="preserve"> and should not be considered as an indicator of performance.  </w:t>
      </w:r>
    </w:p>
    <w:p w:rsidR="00DF20FA" w:rsidRDefault="00DF20FA" w:rsidP="00555678">
      <w:pPr>
        <w:spacing w:after="0" w:line="240" w:lineRule="auto"/>
        <w:rPr>
          <w:sz w:val="24"/>
          <w:szCs w:val="24"/>
        </w:rPr>
      </w:pPr>
    </w:p>
    <w:p w:rsidR="00832A42" w:rsidRPr="00731606" w:rsidRDefault="00832A42" w:rsidP="00832A42">
      <w:pPr>
        <w:pStyle w:val="ListParagraph"/>
        <w:spacing w:after="0" w:line="240" w:lineRule="auto"/>
        <w:rPr>
          <w:sz w:val="24"/>
          <w:szCs w:val="24"/>
        </w:rPr>
      </w:pPr>
      <w:r>
        <w:rPr>
          <w:sz w:val="24"/>
          <w:szCs w:val="24"/>
        </w:rPr>
        <w:t xml:space="preserve">The overall average gap in retention rates between F2F and online courses is 10.4%.  The gap in retention between night and online courses is slightly less than the gap in retention between day and online courses (1.2%).    </w:t>
      </w:r>
    </w:p>
    <w:p w:rsidR="00832A42" w:rsidRPr="00DF20FA" w:rsidRDefault="00832A42" w:rsidP="00832A42">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lastRenderedPageBreak/>
        <w:t>Discuss and chart the success and retention rates in each program and identify gaps for five ethnic groups. (African-American, White, all Hispanics, Other, Unknown).</w:t>
      </w:r>
    </w:p>
    <w:p w:rsidR="00555678" w:rsidRPr="00583E49" w:rsidRDefault="00555678" w:rsidP="00555678">
      <w:pPr>
        <w:pStyle w:val="ListParagraph"/>
        <w:spacing w:after="0" w:line="240" w:lineRule="auto"/>
        <w:ind w:left="1800"/>
        <w:rPr>
          <w:sz w:val="16"/>
          <w:szCs w:val="16"/>
        </w:rPr>
      </w:pPr>
    </w:p>
    <w:p w:rsidR="00C318F4" w:rsidRDefault="00C318F4" w:rsidP="00C318F4">
      <w:pPr>
        <w:pStyle w:val="ListParagraph"/>
        <w:spacing w:after="0" w:line="240" w:lineRule="auto"/>
        <w:ind w:left="1800"/>
        <w:rPr>
          <w:sz w:val="24"/>
          <w:szCs w:val="24"/>
        </w:rPr>
      </w:pPr>
      <w:r>
        <w:rPr>
          <w:sz w:val="24"/>
          <w:szCs w:val="24"/>
        </w:rPr>
        <w:t xml:space="preserve">N/A:  This information is covered in each discipline.  The focus of the Distance Education Program Review is the success and retention rates of online courses.  </w:t>
      </w:r>
    </w:p>
    <w:p w:rsidR="00555678" w:rsidRPr="00583E49" w:rsidRDefault="00555678" w:rsidP="00555678">
      <w:pPr>
        <w:pStyle w:val="ListParagraph"/>
        <w:spacing w:after="0" w:line="240" w:lineRule="auto"/>
        <w:ind w:left="1800"/>
        <w:rPr>
          <w:sz w:val="16"/>
          <w:szCs w:val="16"/>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Pr="00583E49" w:rsidRDefault="00555678" w:rsidP="00555678">
      <w:pPr>
        <w:pStyle w:val="ListParagraph"/>
        <w:spacing w:after="0" w:line="240" w:lineRule="auto"/>
        <w:ind w:left="1800"/>
        <w:rPr>
          <w:sz w:val="16"/>
          <w:szCs w:val="16"/>
        </w:rPr>
      </w:pPr>
    </w:p>
    <w:p w:rsidR="00C318F4" w:rsidRDefault="00C318F4" w:rsidP="00C318F4">
      <w:pPr>
        <w:pStyle w:val="ListParagraph"/>
        <w:spacing w:after="0" w:line="240" w:lineRule="auto"/>
        <w:ind w:left="1800"/>
        <w:rPr>
          <w:sz w:val="24"/>
          <w:szCs w:val="24"/>
        </w:rPr>
      </w:pPr>
      <w:r>
        <w:rPr>
          <w:sz w:val="24"/>
          <w:szCs w:val="24"/>
        </w:rPr>
        <w:t xml:space="preserve">N/A:  This information is covered in each discipline.  The focus of the Distance Education Program Review is the success and retention rates of online courses.  </w:t>
      </w:r>
    </w:p>
    <w:p w:rsidR="00555678" w:rsidRPr="00583E49" w:rsidRDefault="00555678" w:rsidP="00555678">
      <w:pPr>
        <w:pStyle w:val="ListParagraph"/>
        <w:spacing w:after="0" w:line="240" w:lineRule="auto"/>
        <w:ind w:left="1800"/>
        <w:rPr>
          <w:sz w:val="16"/>
          <w:szCs w:val="16"/>
        </w:rPr>
      </w:pPr>
    </w:p>
    <w:p w:rsidR="00555678" w:rsidRPr="00B33668" w:rsidRDefault="006854CC" w:rsidP="00583E49">
      <w:pPr>
        <w:pStyle w:val="ListParagraph"/>
        <w:numPr>
          <w:ilvl w:val="0"/>
          <w:numId w:val="8"/>
        </w:numPr>
        <w:spacing w:after="120"/>
        <w:rPr>
          <w:sz w:val="28"/>
        </w:rPr>
      </w:pPr>
      <w:r w:rsidRPr="006854CC">
        <w:rPr>
          <w:sz w:val="24"/>
        </w:rPr>
        <w:t>What program changes, if any, will you recommend that you expect would have a positive effect on your students</w:t>
      </w:r>
      <w:r>
        <w:rPr>
          <w:sz w:val="24"/>
        </w:rPr>
        <w:t xml:space="preserve"> in your program, if applicable?</w:t>
      </w:r>
    </w:p>
    <w:p w:rsidR="00B33668" w:rsidRPr="00B33668" w:rsidRDefault="00583E49" w:rsidP="00583E49">
      <w:pPr>
        <w:spacing w:after="0" w:line="240" w:lineRule="auto"/>
        <w:ind w:left="1800"/>
        <w:rPr>
          <w:sz w:val="24"/>
          <w:szCs w:val="24"/>
        </w:rPr>
      </w:pPr>
      <w:r>
        <w:rPr>
          <w:sz w:val="24"/>
          <w:szCs w:val="24"/>
        </w:rPr>
        <w:t xml:space="preserve">Recommend the development of a faculty DE Handbook and a Distance Education 3-Year Plan.  In addition, it is recommended that the college employ a Fulltime DE Coordinator to oversee the coordination and management of the DE program.  The DE Coordinator should receive training and participate in regional, state, and national organizations to affectively assist the college in the implementation and continuous improvement of distance education at IVC.  All these actions would be in support of student access and success.  </w:t>
      </w:r>
    </w:p>
    <w:p w:rsidR="00555678" w:rsidRPr="00583E49" w:rsidRDefault="00555678" w:rsidP="00555678">
      <w:pPr>
        <w:pStyle w:val="ListParagraph"/>
        <w:spacing w:after="0" w:line="240" w:lineRule="auto"/>
        <w:ind w:left="1800"/>
        <w:rPr>
          <w:sz w:val="16"/>
          <w:szCs w:val="16"/>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C521EC" w:rsidRDefault="00254476" w:rsidP="00254476">
      <w:pPr>
        <w:pStyle w:val="ListParagraph"/>
        <w:numPr>
          <w:ilvl w:val="0"/>
          <w:numId w:val="14"/>
        </w:numPr>
        <w:spacing w:after="0" w:line="240" w:lineRule="auto"/>
        <w:rPr>
          <w:sz w:val="24"/>
          <w:szCs w:val="24"/>
        </w:rPr>
      </w:pPr>
      <w:r>
        <w:rPr>
          <w:sz w:val="24"/>
          <w:szCs w:val="24"/>
        </w:rPr>
        <w:t xml:space="preserve">Developed a training policy for faculty developing online courses in support of student </w:t>
      </w:r>
      <w:r w:rsidR="00B63439">
        <w:rPr>
          <w:sz w:val="24"/>
          <w:szCs w:val="24"/>
        </w:rPr>
        <w:t xml:space="preserve">access and </w:t>
      </w:r>
      <w:r>
        <w:rPr>
          <w:sz w:val="24"/>
          <w:szCs w:val="24"/>
        </w:rPr>
        <w:t xml:space="preserve">success.  </w:t>
      </w:r>
    </w:p>
    <w:p w:rsidR="00254476" w:rsidRDefault="00254476" w:rsidP="00254476">
      <w:pPr>
        <w:pStyle w:val="ListParagraph"/>
        <w:numPr>
          <w:ilvl w:val="0"/>
          <w:numId w:val="14"/>
        </w:numPr>
        <w:spacing w:after="0" w:line="240" w:lineRule="auto"/>
        <w:rPr>
          <w:sz w:val="24"/>
          <w:szCs w:val="24"/>
        </w:rPr>
      </w:pPr>
      <w:r>
        <w:rPr>
          <w:sz w:val="24"/>
          <w:szCs w:val="24"/>
        </w:rPr>
        <w:t xml:space="preserve">Assisted faculty in the development of online courses in support of student access and success.  </w:t>
      </w:r>
    </w:p>
    <w:p w:rsidR="00254476" w:rsidRDefault="00254476" w:rsidP="00254476">
      <w:pPr>
        <w:pStyle w:val="ListParagraph"/>
        <w:numPr>
          <w:ilvl w:val="0"/>
          <w:numId w:val="14"/>
        </w:numPr>
        <w:spacing w:after="0" w:line="240" w:lineRule="auto"/>
        <w:rPr>
          <w:sz w:val="24"/>
          <w:szCs w:val="24"/>
        </w:rPr>
      </w:pPr>
      <w:r>
        <w:rPr>
          <w:sz w:val="24"/>
          <w:szCs w:val="24"/>
        </w:rPr>
        <w:t>Offered faculty Blackboard training through the ATLA</w:t>
      </w:r>
      <w:r w:rsidR="00B63439">
        <w:rPr>
          <w:sz w:val="24"/>
          <w:szCs w:val="24"/>
        </w:rPr>
        <w:t>S program in support of student</w:t>
      </w:r>
      <w:r>
        <w:rPr>
          <w:sz w:val="24"/>
          <w:szCs w:val="24"/>
        </w:rPr>
        <w:t xml:space="preserve"> access and success.  </w:t>
      </w:r>
    </w:p>
    <w:p w:rsidR="00254476" w:rsidRPr="00583E49" w:rsidRDefault="00254476" w:rsidP="00254476">
      <w:pPr>
        <w:spacing w:after="0" w:line="240" w:lineRule="auto"/>
        <w:rPr>
          <w:sz w:val="16"/>
          <w:szCs w:val="16"/>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Pr="00583E49" w:rsidRDefault="0023193A" w:rsidP="006D4F29">
      <w:pPr>
        <w:spacing w:after="0" w:line="240" w:lineRule="auto"/>
        <w:ind w:left="1440"/>
        <w:rPr>
          <w:sz w:val="16"/>
          <w:szCs w:val="16"/>
        </w:rPr>
      </w:pPr>
    </w:p>
    <w:p w:rsidR="00AE5C40" w:rsidRDefault="00B33668" w:rsidP="00B63439">
      <w:pPr>
        <w:pStyle w:val="ListParagraph"/>
        <w:spacing w:after="0" w:line="240" w:lineRule="auto"/>
        <w:ind w:left="1800"/>
        <w:rPr>
          <w:sz w:val="24"/>
          <w:szCs w:val="24"/>
        </w:rPr>
      </w:pPr>
      <w:r>
        <w:rPr>
          <w:sz w:val="24"/>
          <w:szCs w:val="24"/>
        </w:rPr>
        <w:t xml:space="preserve">N/A:  This information is covered in each discipline.  The focus of the Distance Education Program Review is the success and retention rates of online courses.  </w:t>
      </w:r>
    </w:p>
    <w:p w:rsidR="00B63439" w:rsidRDefault="00B63439" w:rsidP="00B63439">
      <w:pPr>
        <w:pStyle w:val="ListParagraph"/>
        <w:spacing w:after="0" w:line="240" w:lineRule="auto"/>
        <w:ind w:left="1800"/>
        <w:rPr>
          <w:sz w:val="24"/>
          <w:szCs w:val="24"/>
        </w:rPr>
      </w:pP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B33668">
              <w:rPr>
                <w:sz w:val="24"/>
                <w:szCs w:val="24"/>
              </w:rPr>
              <w:t xml:space="preserve"> Hire full-time DE Coordinator to manage and coordinate distance education course </w:t>
            </w:r>
            <w:r w:rsidR="000C1BF3">
              <w:rPr>
                <w:sz w:val="24"/>
                <w:szCs w:val="24"/>
              </w:rPr>
              <w:tab/>
            </w:r>
            <w:r w:rsidR="000C1BF3">
              <w:rPr>
                <w:sz w:val="24"/>
                <w:szCs w:val="24"/>
              </w:rPr>
              <w:tab/>
            </w:r>
            <w:r w:rsidR="000C1BF3">
              <w:rPr>
                <w:sz w:val="24"/>
                <w:szCs w:val="24"/>
              </w:rPr>
              <w:tab/>
            </w:r>
            <w:r w:rsidR="00B33668">
              <w:rPr>
                <w:sz w:val="24"/>
                <w:szCs w:val="24"/>
              </w:rPr>
              <w:t xml:space="preserve">development, training, and policy </w:t>
            </w:r>
            <w:r w:rsidR="000C1BF3">
              <w:rPr>
                <w:sz w:val="24"/>
                <w:szCs w:val="24"/>
              </w:rPr>
              <w:t xml:space="preserve">development and </w:t>
            </w:r>
            <w:r w:rsidR="00B33668">
              <w:rPr>
                <w:sz w:val="24"/>
                <w:szCs w:val="24"/>
              </w:rPr>
              <w:t xml:space="preserve">compliance.  </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1A238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1A238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B33668">
              <w:rPr>
                <w:sz w:val="24"/>
                <w:szCs w:val="24"/>
              </w:rPr>
              <w:t xml:space="preserve">  </w:t>
            </w:r>
            <w:r w:rsidR="000C1BF3">
              <w:rPr>
                <w:sz w:val="24"/>
                <w:szCs w:val="24"/>
              </w:rPr>
              <w:tab/>
            </w:r>
            <w:r w:rsidR="00B33668">
              <w:rPr>
                <w:sz w:val="24"/>
                <w:szCs w:val="24"/>
              </w:rPr>
              <w:t>Provide fulltime leadership</w:t>
            </w:r>
            <w:r w:rsidR="00D215F1">
              <w:rPr>
                <w:sz w:val="24"/>
                <w:szCs w:val="24"/>
              </w:rPr>
              <w:t xml:space="preserve"> and coordination</w:t>
            </w:r>
            <w:r w:rsidR="00B33668">
              <w:rPr>
                <w:sz w:val="24"/>
                <w:szCs w:val="24"/>
              </w:rPr>
              <w:t xml:space="preserve"> for the distance education program</w:t>
            </w:r>
            <w:r w:rsidR="00D215F1">
              <w:rPr>
                <w:sz w:val="24"/>
                <w:szCs w:val="24"/>
              </w:rPr>
              <w:t xml:space="preserve"> to i</w:t>
            </w:r>
            <w:r w:rsidR="000C1BF3">
              <w:rPr>
                <w:sz w:val="24"/>
                <w:szCs w:val="24"/>
              </w:rPr>
              <w:t>mprove</w:t>
            </w:r>
            <w:r w:rsidR="00D215F1">
              <w:rPr>
                <w:sz w:val="24"/>
                <w:szCs w:val="24"/>
              </w:rPr>
              <w:t xml:space="preserve"> </w:t>
            </w:r>
            <w:r w:rsidR="000C1BF3">
              <w:rPr>
                <w:sz w:val="24"/>
                <w:szCs w:val="24"/>
              </w:rPr>
              <w:tab/>
            </w:r>
            <w:r w:rsidR="000C1BF3">
              <w:rPr>
                <w:sz w:val="24"/>
                <w:szCs w:val="24"/>
              </w:rPr>
              <w:tab/>
            </w:r>
            <w:r w:rsidR="00D215F1">
              <w:rPr>
                <w:sz w:val="24"/>
                <w:szCs w:val="24"/>
              </w:rPr>
              <w:t xml:space="preserve">student access and success.   </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Default="005707F9" w:rsidP="00CF1504">
            <w:pPr>
              <w:rPr>
                <w:sz w:val="24"/>
                <w:szCs w:val="24"/>
              </w:rPr>
            </w:pPr>
            <w:r w:rsidRPr="005707F9">
              <w:rPr>
                <w:b/>
                <w:sz w:val="24"/>
                <w:szCs w:val="24"/>
              </w:rPr>
              <w:t>Task(s):</w:t>
            </w:r>
            <w:r w:rsidRPr="005707F9">
              <w:rPr>
                <w:sz w:val="24"/>
                <w:szCs w:val="24"/>
              </w:rPr>
              <w:t xml:space="preserve"> </w:t>
            </w:r>
            <w:r w:rsidR="00D215F1">
              <w:rPr>
                <w:sz w:val="24"/>
                <w:szCs w:val="24"/>
              </w:rPr>
              <w:t xml:space="preserve">  </w:t>
            </w:r>
            <w:r w:rsidR="00D215F1">
              <w:rPr>
                <w:sz w:val="24"/>
                <w:szCs w:val="24"/>
              </w:rPr>
              <w:tab/>
              <w:t>1.  HR to develop a job description for the new FT DE Coordinator Position;</w:t>
            </w:r>
          </w:p>
          <w:p w:rsidR="00D215F1" w:rsidRDefault="00D215F1" w:rsidP="00CF1504">
            <w:pPr>
              <w:rPr>
                <w:sz w:val="24"/>
                <w:szCs w:val="24"/>
              </w:rPr>
            </w:pPr>
            <w:r>
              <w:rPr>
                <w:sz w:val="24"/>
                <w:szCs w:val="24"/>
              </w:rPr>
              <w:tab/>
            </w:r>
            <w:r>
              <w:rPr>
                <w:sz w:val="24"/>
                <w:szCs w:val="24"/>
              </w:rPr>
              <w:tab/>
              <w:t>2.  Board of Trustees to approve the new position; and</w:t>
            </w:r>
          </w:p>
          <w:p w:rsidR="00D215F1" w:rsidRPr="005707F9" w:rsidRDefault="00D215F1" w:rsidP="00CF1504">
            <w:pPr>
              <w:rPr>
                <w:sz w:val="24"/>
                <w:szCs w:val="24"/>
              </w:rPr>
            </w:pPr>
            <w:r>
              <w:rPr>
                <w:sz w:val="24"/>
                <w:szCs w:val="24"/>
              </w:rPr>
              <w:tab/>
            </w:r>
            <w:r>
              <w:rPr>
                <w:sz w:val="24"/>
                <w:szCs w:val="24"/>
              </w:rPr>
              <w:tab/>
              <w:t xml:space="preserve">3.  HR to facilitate hiring of DE Coordinator.  </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Default="005707F9" w:rsidP="00CF1504">
            <w:pPr>
              <w:rPr>
                <w:sz w:val="24"/>
                <w:szCs w:val="24"/>
              </w:rPr>
            </w:pPr>
            <w:r w:rsidRPr="005707F9">
              <w:rPr>
                <w:b/>
                <w:sz w:val="24"/>
                <w:szCs w:val="24"/>
              </w:rPr>
              <w:t>Timeline:</w:t>
            </w:r>
            <w:r w:rsidRPr="005707F9">
              <w:rPr>
                <w:sz w:val="24"/>
                <w:szCs w:val="24"/>
              </w:rPr>
              <w:t xml:space="preserve"> </w:t>
            </w:r>
            <w:r w:rsidR="00B33668">
              <w:rPr>
                <w:sz w:val="24"/>
                <w:szCs w:val="24"/>
              </w:rPr>
              <w:t xml:space="preserve"> </w:t>
            </w:r>
            <w:r w:rsidR="00D215F1">
              <w:rPr>
                <w:sz w:val="24"/>
                <w:szCs w:val="24"/>
              </w:rPr>
              <w:t xml:space="preserve"> </w:t>
            </w:r>
            <w:r w:rsidR="00D215F1">
              <w:rPr>
                <w:sz w:val="24"/>
                <w:szCs w:val="24"/>
              </w:rPr>
              <w:tab/>
            </w:r>
            <w:r w:rsidR="00D215F1" w:rsidRPr="001A2389">
              <w:rPr>
                <w:b/>
                <w:sz w:val="24"/>
                <w:szCs w:val="24"/>
              </w:rPr>
              <w:t>Fall 2013:</w:t>
            </w:r>
            <w:r w:rsidR="00D215F1">
              <w:rPr>
                <w:sz w:val="24"/>
                <w:szCs w:val="24"/>
              </w:rPr>
              <w:t xml:space="preserve">  </w:t>
            </w:r>
            <w:r w:rsidR="001A2389">
              <w:rPr>
                <w:sz w:val="24"/>
                <w:szCs w:val="24"/>
              </w:rPr>
              <w:t xml:space="preserve">HR to develop the FT DE Coordinator job description; Board of Trustees to approve </w:t>
            </w:r>
            <w:r w:rsidR="001A2389">
              <w:rPr>
                <w:sz w:val="24"/>
                <w:szCs w:val="24"/>
              </w:rPr>
              <w:tab/>
            </w:r>
            <w:r w:rsidR="001A2389">
              <w:rPr>
                <w:sz w:val="24"/>
                <w:szCs w:val="24"/>
              </w:rPr>
              <w:tab/>
            </w:r>
            <w:r w:rsidR="001A2389">
              <w:rPr>
                <w:sz w:val="24"/>
                <w:szCs w:val="24"/>
              </w:rPr>
              <w:tab/>
              <w:t xml:space="preserve">new position; HR to facilitate hiring of FT DE Coordinator.   </w:t>
            </w:r>
          </w:p>
          <w:p w:rsidR="001A2389" w:rsidRPr="005707F9" w:rsidRDefault="001A2389" w:rsidP="00CF1504">
            <w:pPr>
              <w:rPr>
                <w:sz w:val="24"/>
                <w:szCs w:val="24"/>
              </w:rPr>
            </w:pPr>
            <w:r>
              <w:rPr>
                <w:sz w:val="24"/>
                <w:szCs w:val="24"/>
              </w:rPr>
              <w:tab/>
            </w:r>
            <w:r>
              <w:rPr>
                <w:sz w:val="24"/>
                <w:szCs w:val="24"/>
              </w:rPr>
              <w:tab/>
            </w:r>
            <w:r>
              <w:rPr>
                <w:b/>
                <w:sz w:val="24"/>
                <w:szCs w:val="24"/>
              </w:rPr>
              <w:t>Spring 2014</w:t>
            </w:r>
            <w:r w:rsidRPr="001A2389">
              <w:rPr>
                <w:b/>
                <w:sz w:val="24"/>
                <w:szCs w:val="24"/>
              </w:rPr>
              <w:t>:</w:t>
            </w:r>
            <w:r>
              <w:rPr>
                <w:sz w:val="24"/>
                <w:szCs w:val="24"/>
              </w:rPr>
              <w:t xml:space="preserve">  New DE Coordinator in position by the start of Spring 2014.  </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1" w:name="Check1"/>
            <w:r w:rsidRPr="005707F9">
              <w:rPr>
                <w:sz w:val="24"/>
                <w:szCs w:val="24"/>
              </w:rPr>
              <w:instrText xml:space="preserve"> FORMCHECKBOX </w:instrText>
            </w:r>
            <w:r w:rsidRPr="005707F9">
              <w:rPr>
                <w:sz w:val="24"/>
                <w:szCs w:val="24"/>
              </w:rPr>
            </w:r>
            <w:r w:rsidRPr="005707F9">
              <w:rPr>
                <w:sz w:val="24"/>
                <w:szCs w:val="24"/>
              </w:rPr>
              <w:fldChar w:fldCharType="end"/>
            </w:r>
            <w:bookmarkEnd w:id="1"/>
            <w:r w:rsidRPr="005707F9">
              <w:rPr>
                <w:sz w:val="24"/>
                <w:szCs w:val="24"/>
              </w:rPr>
              <w:t xml:space="preserve"> O</w:t>
            </w:r>
            <w:r>
              <w:rPr>
                <w:sz w:val="24"/>
                <w:szCs w:val="24"/>
              </w:rPr>
              <w:t>ne-Time</w:t>
            </w:r>
          </w:p>
          <w:p w:rsidR="006854CC" w:rsidRPr="005707F9" w:rsidRDefault="006854CC" w:rsidP="005707F9">
            <w:pPr>
              <w:rPr>
                <w:sz w:val="24"/>
                <w:szCs w:val="24"/>
              </w:rPr>
            </w:pPr>
          </w:p>
          <w:bookmarkStart w:id="2" w:name="Check2"/>
          <w:p w:rsidR="006854CC" w:rsidRPr="005707F9" w:rsidRDefault="00B33668" w:rsidP="005707F9">
            <w:pPr>
              <w:rPr>
                <w:sz w:val="24"/>
                <w:szCs w:val="24"/>
              </w:rPr>
            </w:pPr>
            <w:r>
              <w:rPr>
                <w:sz w:val="24"/>
                <w:szCs w:val="24"/>
              </w:rPr>
              <w:fldChar w:fldCharType="begin">
                <w:ffData>
                  <w:name w:val="Check2"/>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2"/>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3" w:name="Check3"/>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4"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4"/>
          </w:p>
        </w:tc>
        <w:tc>
          <w:tcPr>
            <w:tcW w:w="2610" w:type="dxa"/>
            <w:tcBorders>
              <w:left w:val="single" w:sz="4" w:space="0" w:color="auto"/>
              <w:bottom w:val="single" w:sz="4" w:space="0" w:color="auto"/>
            </w:tcBorders>
          </w:tcPr>
          <w:p w:rsidR="006854CC" w:rsidRPr="005707F9" w:rsidRDefault="006854CC" w:rsidP="005707F9">
            <w:pPr>
              <w:rPr>
                <w:sz w:val="24"/>
                <w:szCs w:val="24"/>
              </w:rPr>
            </w:pPr>
          </w:p>
          <w:bookmarkStart w:id="5" w:name="Check4"/>
          <w:p w:rsidR="006854CC" w:rsidRPr="005707F9" w:rsidRDefault="00B33668" w:rsidP="005707F9">
            <w:pPr>
              <w:rPr>
                <w:sz w:val="24"/>
                <w:szCs w:val="24"/>
              </w:rPr>
            </w:pPr>
            <w:r>
              <w:rPr>
                <w:sz w:val="24"/>
                <w:szCs w:val="24"/>
              </w:rPr>
              <w:fldChar w:fldCharType="begin">
                <w:ffData>
                  <w:name w:val="Check4"/>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5"/>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B33668"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1A2389">
            <w:pPr>
              <w:jc w:val="right"/>
              <w:rPr>
                <w:sz w:val="24"/>
                <w:szCs w:val="24"/>
              </w:rPr>
            </w:pPr>
            <w:r w:rsidRPr="005707F9">
              <w:rPr>
                <w:sz w:val="24"/>
                <w:szCs w:val="24"/>
              </w:rPr>
              <w:t>$</w:t>
            </w:r>
            <w:r w:rsidR="001A2389">
              <w:rPr>
                <w:sz w:val="24"/>
                <w:szCs w:val="24"/>
              </w:rPr>
              <w:t>90,000.00</w:t>
            </w: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AA2BE3">
              <w:rPr>
                <w:sz w:val="24"/>
                <w:szCs w:val="24"/>
              </w:rPr>
              <w:t xml:space="preserve">  Professional Development and Training for DE Coordinator.  </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2A2D4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2A2D4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Default="00D001FF" w:rsidP="00BF5135">
            <w:pPr>
              <w:rPr>
                <w:sz w:val="24"/>
                <w:szCs w:val="24"/>
              </w:rPr>
            </w:pPr>
            <w:r w:rsidRPr="00B30971">
              <w:rPr>
                <w:b/>
                <w:sz w:val="24"/>
                <w:szCs w:val="24"/>
              </w:rPr>
              <w:t>Objective:</w:t>
            </w:r>
            <w:r w:rsidRPr="00B30971">
              <w:rPr>
                <w:sz w:val="24"/>
                <w:szCs w:val="24"/>
              </w:rPr>
              <w:t xml:space="preserve"> </w:t>
            </w:r>
            <w:r w:rsidR="00AA2BE3">
              <w:rPr>
                <w:sz w:val="24"/>
                <w:szCs w:val="24"/>
              </w:rPr>
              <w:t xml:space="preserve">  </w:t>
            </w:r>
            <w:r w:rsidR="00AA2BE3">
              <w:rPr>
                <w:sz w:val="24"/>
                <w:szCs w:val="24"/>
              </w:rPr>
              <w:tab/>
            </w:r>
            <w:r w:rsidR="00BF5135">
              <w:rPr>
                <w:sz w:val="24"/>
                <w:szCs w:val="24"/>
              </w:rPr>
              <w:t xml:space="preserve">DE Coordinator to be current on DE issues regionally and within the state and nation to support </w:t>
            </w:r>
            <w:r w:rsidR="00BF5135">
              <w:rPr>
                <w:sz w:val="24"/>
                <w:szCs w:val="24"/>
              </w:rPr>
              <w:tab/>
            </w:r>
            <w:r w:rsidR="00BF5135">
              <w:rPr>
                <w:sz w:val="24"/>
                <w:szCs w:val="24"/>
              </w:rPr>
              <w:tab/>
              <w:t xml:space="preserve">the development of a quality DE program for the benefit of student access and success.   </w:t>
            </w:r>
            <w:r w:rsidR="00AA2BE3">
              <w:rPr>
                <w:sz w:val="24"/>
                <w:szCs w:val="24"/>
              </w:rPr>
              <w:t xml:space="preserve"> </w:t>
            </w:r>
          </w:p>
          <w:p w:rsidR="00BF5135" w:rsidRPr="00B30971" w:rsidRDefault="00BF5135" w:rsidP="00BF5135">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Default="00D001FF" w:rsidP="004A2B92">
            <w:pPr>
              <w:rPr>
                <w:sz w:val="24"/>
                <w:szCs w:val="24"/>
              </w:rPr>
            </w:pPr>
            <w:r w:rsidRPr="00B30971">
              <w:rPr>
                <w:b/>
                <w:sz w:val="24"/>
                <w:szCs w:val="24"/>
              </w:rPr>
              <w:t>Task(s):</w:t>
            </w:r>
            <w:r w:rsidRPr="00B30971">
              <w:rPr>
                <w:sz w:val="24"/>
                <w:szCs w:val="24"/>
              </w:rPr>
              <w:t xml:space="preserve"> </w:t>
            </w:r>
            <w:r w:rsidR="00AA2BE3">
              <w:rPr>
                <w:sz w:val="24"/>
                <w:szCs w:val="24"/>
              </w:rPr>
              <w:t xml:space="preserve">  </w:t>
            </w:r>
            <w:r w:rsidR="00BF5135">
              <w:rPr>
                <w:sz w:val="24"/>
                <w:szCs w:val="24"/>
              </w:rPr>
              <w:tab/>
              <w:t xml:space="preserve">1.  </w:t>
            </w:r>
            <w:r w:rsidR="00AA2BE3">
              <w:rPr>
                <w:sz w:val="24"/>
                <w:szCs w:val="24"/>
              </w:rPr>
              <w:t xml:space="preserve">DE Coordinator to </w:t>
            </w:r>
            <w:r w:rsidR="00BF5135">
              <w:rPr>
                <w:sz w:val="24"/>
                <w:szCs w:val="24"/>
              </w:rPr>
              <w:t xml:space="preserve">participate in monthly conference call with CCCCO DE Coordinator </w:t>
            </w:r>
            <w:r w:rsidR="00BF5135">
              <w:rPr>
                <w:sz w:val="24"/>
                <w:szCs w:val="24"/>
              </w:rPr>
              <w:tab/>
            </w:r>
            <w:r w:rsidR="00BF5135">
              <w:rPr>
                <w:sz w:val="24"/>
                <w:szCs w:val="24"/>
              </w:rPr>
              <w:tab/>
            </w:r>
            <w:r w:rsidR="00BF5135">
              <w:rPr>
                <w:sz w:val="24"/>
                <w:szCs w:val="24"/>
              </w:rPr>
              <w:tab/>
              <w:t>Committee;</w:t>
            </w:r>
          </w:p>
          <w:p w:rsidR="00BF5135" w:rsidRDefault="00BF5135" w:rsidP="004A2B92">
            <w:pPr>
              <w:rPr>
                <w:sz w:val="24"/>
                <w:szCs w:val="24"/>
              </w:rPr>
            </w:pPr>
            <w:r>
              <w:rPr>
                <w:sz w:val="24"/>
                <w:szCs w:val="24"/>
              </w:rPr>
              <w:tab/>
            </w:r>
            <w:r>
              <w:rPr>
                <w:sz w:val="24"/>
                <w:szCs w:val="24"/>
              </w:rPr>
              <w:tab/>
              <w:t>2.  DE Coordinator to attend monthly SDICCCA DE Coordinator meetings in San Diego;</w:t>
            </w:r>
          </w:p>
          <w:p w:rsidR="00BF5135" w:rsidRDefault="00BF5135" w:rsidP="004A2B92">
            <w:pPr>
              <w:rPr>
                <w:sz w:val="24"/>
                <w:szCs w:val="24"/>
              </w:rPr>
            </w:pPr>
            <w:r>
              <w:rPr>
                <w:sz w:val="24"/>
                <w:szCs w:val="24"/>
              </w:rPr>
              <w:tab/>
            </w:r>
            <w:r>
              <w:rPr>
                <w:sz w:val="24"/>
                <w:szCs w:val="24"/>
              </w:rPr>
              <w:tab/>
              <w:t xml:space="preserve">3.  DE Coordinator to attend CCCCO DE Coordinator Retreat and OTC Conference; </w:t>
            </w:r>
          </w:p>
          <w:p w:rsidR="00BF5135" w:rsidRDefault="000E245C" w:rsidP="004A2B92">
            <w:pPr>
              <w:rPr>
                <w:sz w:val="24"/>
                <w:szCs w:val="24"/>
              </w:rPr>
            </w:pPr>
            <w:r>
              <w:rPr>
                <w:sz w:val="24"/>
                <w:szCs w:val="24"/>
              </w:rPr>
              <w:tab/>
            </w:r>
            <w:r>
              <w:rPr>
                <w:sz w:val="24"/>
                <w:szCs w:val="24"/>
              </w:rPr>
              <w:tab/>
              <w:t>4.  DE Coordinator to attend a</w:t>
            </w:r>
            <w:r w:rsidR="00BF5135">
              <w:rPr>
                <w:sz w:val="24"/>
                <w:szCs w:val="24"/>
              </w:rPr>
              <w:t xml:space="preserve">nnual </w:t>
            </w:r>
            <w:r>
              <w:rPr>
                <w:sz w:val="24"/>
                <w:szCs w:val="24"/>
              </w:rPr>
              <w:t>Curriculum</w:t>
            </w:r>
            <w:r w:rsidR="00BF5135">
              <w:rPr>
                <w:sz w:val="24"/>
                <w:szCs w:val="24"/>
              </w:rPr>
              <w:t xml:space="preserve"> </w:t>
            </w:r>
            <w:r w:rsidR="007E03C5">
              <w:rPr>
                <w:sz w:val="24"/>
                <w:szCs w:val="24"/>
              </w:rPr>
              <w:t>Institute</w:t>
            </w:r>
            <w:r w:rsidR="00BF5135">
              <w:rPr>
                <w:sz w:val="24"/>
                <w:szCs w:val="24"/>
              </w:rPr>
              <w:t>; and</w:t>
            </w:r>
          </w:p>
          <w:p w:rsidR="00D001FF" w:rsidRDefault="00BF5135" w:rsidP="003D3C8C">
            <w:pPr>
              <w:rPr>
                <w:sz w:val="24"/>
                <w:szCs w:val="24"/>
              </w:rPr>
            </w:pPr>
            <w:r>
              <w:rPr>
                <w:sz w:val="24"/>
                <w:szCs w:val="24"/>
              </w:rPr>
              <w:tab/>
            </w:r>
            <w:r>
              <w:rPr>
                <w:sz w:val="24"/>
                <w:szCs w:val="24"/>
              </w:rPr>
              <w:tab/>
              <w:t xml:space="preserve">5.  DE Coordinator to attend other trainings as deemed </w:t>
            </w:r>
            <w:r w:rsidR="003D3C8C">
              <w:rPr>
                <w:sz w:val="24"/>
                <w:szCs w:val="24"/>
              </w:rPr>
              <w:t xml:space="preserve">necessary for the improvement of </w:t>
            </w:r>
            <w:r w:rsidR="003D3C8C">
              <w:rPr>
                <w:sz w:val="24"/>
                <w:szCs w:val="24"/>
              </w:rPr>
              <w:tab/>
            </w:r>
            <w:r w:rsidR="003D3C8C">
              <w:rPr>
                <w:sz w:val="24"/>
                <w:szCs w:val="24"/>
              </w:rPr>
              <w:tab/>
              <w:t>the DE program in support of student access and success</w:t>
            </w:r>
            <w:r>
              <w:rPr>
                <w:sz w:val="24"/>
                <w:szCs w:val="24"/>
              </w:rPr>
              <w:t xml:space="preserve">.  </w:t>
            </w:r>
          </w:p>
          <w:p w:rsidR="00B63439" w:rsidRPr="00B30971" w:rsidRDefault="00B63439" w:rsidP="003D3C8C">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BF5135">
              <w:rPr>
                <w:sz w:val="24"/>
                <w:szCs w:val="24"/>
              </w:rPr>
              <w:tab/>
              <w:t xml:space="preserve">Training to occur throughout the Academic Year as scheduled by hosting agencies.  </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7B466A">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7B466A">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7B466A">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7B466A">
            <w:pPr>
              <w:jc w:val="center"/>
              <w:rPr>
                <w:b/>
                <w:sz w:val="24"/>
                <w:szCs w:val="24"/>
              </w:rPr>
            </w:pPr>
            <w:r w:rsidRPr="00455861">
              <w:rPr>
                <w:b/>
                <w:sz w:val="24"/>
                <w:szCs w:val="24"/>
              </w:rPr>
              <w:t>RESOURCE PLAN</w:t>
            </w:r>
          </w:p>
          <w:p w:rsidR="006854CC" w:rsidRPr="00455861" w:rsidRDefault="006854CC" w:rsidP="007B466A">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7B466A">
            <w:pPr>
              <w:jc w:val="center"/>
              <w:rPr>
                <w:b/>
                <w:sz w:val="24"/>
                <w:szCs w:val="24"/>
              </w:rPr>
            </w:pPr>
            <w:r w:rsidRPr="00455861">
              <w:rPr>
                <w:b/>
                <w:sz w:val="24"/>
                <w:szCs w:val="24"/>
              </w:rPr>
              <w:t>BUDGET REQUEST</w:t>
            </w:r>
          </w:p>
        </w:tc>
      </w:tr>
      <w:tr w:rsidR="006854CC" w:rsidTr="007B466A">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7B466A">
            <w:pPr>
              <w:rPr>
                <w:sz w:val="24"/>
                <w:szCs w:val="24"/>
              </w:rPr>
            </w:pPr>
          </w:p>
          <w:p w:rsidR="006854CC" w:rsidRDefault="006854CC" w:rsidP="007B466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7B466A">
            <w:pPr>
              <w:rPr>
                <w:sz w:val="24"/>
                <w:szCs w:val="24"/>
              </w:rPr>
            </w:pPr>
          </w:p>
          <w:p w:rsidR="006854CC" w:rsidRPr="005707F9" w:rsidRDefault="00BF5135" w:rsidP="007B466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7B466A">
            <w:pPr>
              <w:rPr>
                <w:sz w:val="24"/>
                <w:szCs w:val="24"/>
              </w:rPr>
            </w:pPr>
          </w:p>
          <w:p w:rsidR="006854CC" w:rsidRDefault="006854CC" w:rsidP="007B466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7B466A">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7B466A">
            <w:pPr>
              <w:rPr>
                <w:sz w:val="24"/>
                <w:szCs w:val="24"/>
              </w:rPr>
            </w:pPr>
          </w:p>
          <w:p w:rsidR="006854CC" w:rsidRPr="005707F9" w:rsidRDefault="00BF5135" w:rsidP="007B466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7B466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7B466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2D763C" w:rsidP="007B466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BF5135" w:rsidP="007B466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Professional Development</w:t>
            </w:r>
          </w:p>
          <w:p w:rsidR="006854CC" w:rsidRPr="005707F9" w:rsidRDefault="006854CC" w:rsidP="007B466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AA2BE3">
            <w:pPr>
              <w:jc w:val="right"/>
              <w:rPr>
                <w:sz w:val="24"/>
                <w:szCs w:val="24"/>
              </w:rPr>
            </w:pPr>
            <w:r w:rsidRPr="005707F9">
              <w:rPr>
                <w:sz w:val="24"/>
                <w:szCs w:val="24"/>
              </w:rPr>
              <w:t>$</w:t>
            </w:r>
            <w:r w:rsidR="00AA2BE3">
              <w:rPr>
                <w:sz w:val="24"/>
                <w:szCs w:val="24"/>
                <w:u w:val="single"/>
              </w:rPr>
              <w:t>4,000.00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254476">
              <w:rPr>
                <w:sz w:val="24"/>
                <w:szCs w:val="24"/>
              </w:rPr>
              <w:t xml:space="preserve">  Faculty Professional Development and Training.  </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B6343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B6343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254476">
              <w:rPr>
                <w:sz w:val="24"/>
                <w:szCs w:val="24"/>
              </w:rPr>
              <w:tab/>
              <w:t xml:space="preserve">Provide professional development and training for faculty to improve Blackboard usage and </w:t>
            </w:r>
            <w:r w:rsidR="00254476">
              <w:rPr>
                <w:sz w:val="24"/>
                <w:szCs w:val="24"/>
              </w:rPr>
              <w:tab/>
            </w:r>
            <w:r w:rsidR="00254476">
              <w:rPr>
                <w:sz w:val="24"/>
                <w:szCs w:val="24"/>
              </w:rPr>
              <w:tab/>
              <w:t xml:space="preserve">online course development in support of </w:t>
            </w:r>
            <w:r w:rsidR="00B63439">
              <w:rPr>
                <w:sz w:val="24"/>
                <w:szCs w:val="24"/>
              </w:rPr>
              <w:t>student</w:t>
            </w:r>
            <w:r w:rsidR="00254476">
              <w:rPr>
                <w:sz w:val="24"/>
                <w:szCs w:val="24"/>
              </w:rPr>
              <w:t xml:space="preserve"> access and success.  </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Default="00D001FF" w:rsidP="004A2B92">
            <w:pPr>
              <w:rPr>
                <w:sz w:val="24"/>
                <w:szCs w:val="24"/>
              </w:rPr>
            </w:pPr>
            <w:r w:rsidRPr="00B30971">
              <w:rPr>
                <w:b/>
                <w:sz w:val="24"/>
                <w:szCs w:val="24"/>
              </w:rPr>
              <w:t>Task(s):</w:t>
            </w:r>
            <w:r w:rsidRPr="00B30971">
              <w:rPr>
                <w:sz w:val="24"/>
                <w:szCs w:val="24"/>
              </w:rPr>
              <w:t xml:space="preserve"> </w:t>
            </w:r>
            <w:r w:rsidR="00B63439">
              <w:rPr>
                <w:sz w:val="24"/>
                <w:szCs w:val="24"/>
              </w:rPr>
              <w:tab/>
              <w:t>1.  Coordinate Blackboard campus training with ATLAS grant director;</w:t>
            </w:r>
          </w:p>
          <w:p w:rsidR="00B63439" w:rsidRPr="00B30971" w:rsidRDefault="00B63439" w:rsidP="004A2B92">
            <w:pPr>
              <w:rPr>
                <w:sz w:val="24"/>
                <w:szCs w:val="24"/>
              </w:rPr>
            </w:pPr>
            <w:r>
              <w:rPr>
                <w:sz w:val="24"/>
                <w:szCs w:val="24"/>
              </w:rPr>
              <w:tab/>
            </w:r>
            <w:r>
              <w:rPr>
                <w:sz w:val="24"/>
                <w:szCs w:val="24"/>
              </w:rPr>
              <w:tab/>
              <w:t xml:space="preserve">2.  Provide training on various days/times to facilitate faculty schedules.  </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B63439">
              <w:rPr>
                <w:sz w:val="24"/>
                <w:szCs w:val="24"/>
              </w:rPr>
              <w:tab/>
              <w:t xml:space="preserve">On-going throughout AY 2013-14 as needed in support of faculty professional development </w:t>
            </w:r>
            <w:r w:rsidR="00B63439">
              <w:rPr>
                <w:sz w:val="24"/>
                <w:szCs w:val="24"/>
              </w:rPr>
              <w:tab/>
            </w:r>
            <w:r w:rsidR="00B63439">
              <w:rPr>
                <w:sz w:val="24"/>
                <w:szCs w:val="24"/>
              </w:rPr>
              <w:tab/>
              <w:t xml:space="preserve">and improved student access and success.  </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7B466A">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7B466A">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7B466A">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7B466A">
            <w:pPr>
              <w:jc w:val="center"/>
              <w:rPr>
                <w:b/>
                <w:sz w:val="24"/>
                <w:szCs w:val="24"/>
              </w:rPr>
            </w:pPr>
            <w:r w:rsidRPr="00455861">
              <w:rPr>
                <w:b/>
                <w:sz w:val="24"/>
                <w:szCs w:val="24"/>
              </w:rPr>
              <w:t>RESOURCE PLAN</w:t>
            </w:r>
          </w:p>
          <w:p w:rsidR="00F84054" w:rsidRPr="00455861" w:rsidRDefault="00F84054" w:rsidP="007B466A">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7B466A">
            <w:pPr>
              <w:jc w:val="center"/>
              <w:rPr>
                <w:b/>
                <w:sz w:val="24"/>
                <w:szCs w:val="24"/>
              </w:rPr>
            </w:pPr>
            <w:r w:rsidRPr="00455861">
              <w:rPr>
                <w:b/>
                <w:sz w:val="24"/>
                <w:szCs w:val="24"/>
              </w:rPr>
              <w:t>BUDGET REQUEST</w:t>
            </w:r>
          </w:p>
        </w:tc>
      </w:tr>
      <w:tr w:rsidR="00F84054" w:rsidTr="007B466A">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7B466A">
            <w:pPr>
              <w:rPr>
                <w:sz w:val="24"/>
                <w:szCs w:val="24"/>
              </w:rPr>
            </w:pPr>
          </w:p>
          <w:p w:rsidR="00F84054" w:rsidRDefault="00F84054" w:rsidP="007B466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7B466A">
            <w:pPr>
              <w:rPr>
                <w:sz w:val="24"/>
                <w:szCs w:val="24"/>
              </w:rPr>
            </w:pPr>
          </w:p>
          <w:p w:rsidR="00F84054" w:rsidRPr="005707F9" w:rsidRDefault="00B63439" w:rsidP="007B466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w:t>
            </w:r>
            <w:r w:rsidR="00F84054">
              <w:rPr>
                <w:sz w:val="24"/>
                <w:szCs w:val="24"/>
              </w:rPr>
              <w:t>Recurring</w:t>
            </w:r>
          </w:p>
        </w:tc>
        <w:tc>
          <w:tcPr>
            <w:tcW w:w="2970" w:type="dxa"/>
            <w:tcBorders>
              <w:left w:val="single" w:sz="4" w:space="0" w:color="auto"/>
              <w:bottom w:val="single" w:sz="4" w:space="0" w:color="auto"/>
            </w:tcBorders>
          </w:tcPr>
          <w:p w:rsidR="00F84054" w:rsidRDefault="00F84054" w:rsidP="007B466A">
            <w:pPr>
              <w:rPr>
                <w:sz w:val="24"/>
                <w:szCs w:val="24"/>
              </w:rPr>
            </w:pPr>
          </w:p>
          <w:p w:rsidR="00F84054" w:rsidRDefault="00F84054" w:rsidP="007B466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7B466A">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7B466A">
            <w:pPr>
              <w:rPr>
                <w:sz w:val="24"/>
                <w:szCs w:val="24"/>
              </w:rPr>
            </w:pPr>
          </w:p>
          <w:p w:rsidR="00F84054" w:rsidRPr="005707F9" w:rsidRDefault="00F84054" w:rsidP="007B466A">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7B466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7B466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2D763C" w:rsidP="007B466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Technology</w:t>
            </w:r>
          </w:p>
          <w:p w:rsidR="00F84054" w:rsidRDefault="00B63439" w:rsidP="007B466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Professional Development</w:t>
            </w:r>
          </w:p>
          <w:p w:rsidR="00F84054" w:rsidRPr="005707F9" w:rsidRDefault="00F84054" w:rsidP="007B466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B63439">
            <w:pPr>
              <w:jc w:val="right"/>
              <w:rPr>
                <w:sz w:val="24"/>
                <w:szCs w:val="24"/>
              </w:rPr>
            </w:pPr>
            <w:r w:rsidRPr="005707F9">
              <w:rPr>
                <w:sz w:val="24"/>
                <w:szCs w:val="24"/>
              </w:rPr>
              <w:t>$</w:t>
            </w:r>
            <w:r w:rsidR="00B63439">
              <w:rPr>
                <w:sz w:val="24"/>
                <w:szCs w:val="24"/>
                <w:u w:val="single"/>
              </w:rPr>
              <w:t xml:space="preserve">  0*</w:t>
            </w:r>
          </w:p>
        </w:tc>
      </w:tr>
    </w:tbl>
    <w:p w:rsidR="007F00B5" w:rsidRDefault="007F00B5" w:rsidP="008F6DD3">
      <w:pPr>
        <w:spacing w:after="0" w:line="240" w:lineRule="auto"/>
        <w:rPr>
          <w:sz w:val="24"/>
          <w:szCs w:val="24"/>
        </w:rPr>
      </w:pPr>
    </w:p>
    <w:p w:rsidR="00D26602" w:rsidRDefault="00D26602" w:rsidP="008F6DD3">
      <w:pPr>
        <w:spacing w:after="0" w:line="240" w:lineRule="auto"/>
        <w:rPr>
          <w:sz w:val="24"/>
          <w:szCs w:val="24"/>
        </w:rPr>
      </w:pPr>
    </w:p>
    <w:p w:rsidR="005B59C1" w:rsidRDefault="00B63439" w:rsidP="005B59C1">
      <w:pPr>
        <w:spacing w:after="0" w:line="240" w:lineRule="auto"/>
        <w:ind w:left="360" w:firstLine="720"/>
        <w:rPr>
          <w:sz w:val="24"/>
          <w:szCs w:val="24"/>
        </w:rPr>
      </w:pPr>
      <w:r>
        <w:rPr>
          <w:sz w:val="24"/>
          <w:szCs w:val="24"/>
        </w:rPr>
        <w:t xml:space="preserve">*NOTE:   Funding for Faculty Professional Development and Training to be funded by the ATLAS Grant during AY 2013-2014.  </w:t>
      </w:r>
      <w:r w:rsidR="005B59C1">
        <w:rPr>
          <w:sz w:val="24"/>
          <w:szCs w:val="24"/>
        </w:rP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B63439" w:rsidTr="00B63439">
        <w:tc>
          <w:tcPr>
            <w:tcW w:w="630" w:type="dxa"/>
            <w:tcBorders>
              <w:top w:val="single" w:sz="4" w:space="0" w:color="auto"/>
              <w:left w:val="single" w:sz="4" w:space="0" w:color="auto"/>
              <w:bottom w:val="dotted" w:sz="4" w:space="0" w:color="auto"/>
              <w:right w:val="dotted" w:sz="4" w:space="0" w:color="auto"/>
            </w:tcBorders>
          </w:tcPr>
          <w:p w:rsidR="00B63439" w:rsidRPr="00D001FF" w:rsidRDefault="00B63439" w:rsidP="00B63439">
            <w:pPr>
              <w:jc w:val="center"/>
              <w:rPr>
                <w:b/>
                <w:sz w:val="40"/>
                <w:szCs w:val="40"/>
              </w:rPr>
            </w:pPr>
            <w:r>
              <w:rPr>
                <w:b/>
                <w:sz w:val="40"/>
                <w:szCs w:val="40"/>
              </w:rPr>
              <w:lastRenderedPageBreak/>
              <w:t>4</w:t>
            </w:r>
          </w:p>
        </w:tc>
        <w:tc>
          <w:tcPr>
            <w:tcW w:w="10350" w:type="dxa"/>
            <w:gridSpan w:val="4"/>
            <w:tcBorders>
              <w:top w:val="single" w:sz="4" w:space="0" w:color="auto"/>
              <w:left w:val="single" w:sz="4" w:space="0" w:color="auto"/>
              <w:bottom w:val="dotted" w:sz="4" w:space="0" w:color="auto"/>
              <w:right w:val="dotted" w:sz="4" w:space="0" w:color="auto"/>
            </w:tcBorders>
          </w:tcPr>
          <w:p w:rsidR="00B63439" w:rsidRPr="00B30971" w:rsidRDefault="00B63439" w:rsidP="00B63439">
            <w:pPr>
              <w:jc w:val="center"/>
              <w:rPr>
                <w:b/>
                <w:sz w:val="32"/>
                <w:szCs w:val="32"/>
              </w:rPr>
            </w:pPr>
            <w:r w:rsidRPr="00B30971">
              <w:rPr>
                <w:b/>
                <w:sz w:val="32"/>
                <w:szCs w:val="32"/>
              </w:rPr>
              <w:t>FUTURE PROGRAM GOAL #</w:t>
            </w:r>
            <w:r>
              <w:rPr>
                <w:b/>
                <w:sz w:val="32"/>
                <w:szCs w:val="32"/>
              </w:rPr>
              <w:t>4</w:t>
            </w:r>
          </w:p>
          <w:p w:rsidR="00B63439" w:rsidRPr="005707F9" w:rsidRDefault="00B63439" w:rsidP="00B63439">
            <w:pPr>
              <w:jc w:val="center"/>
              <w:rPr>
                <w:b/>
                <w:sz w:val="24"/>
                <w:szCs w:val="24"/>
              </w:rPr>
            </w:pPr>
            <w:r w:rsidRPr="005707F9">
              <w:rPr>
                <w:sz w:val="24"/>
                <w:szCs w:val="24"/>
              </w:rPr>
              <w:t>Budget Priority #</w:t>
            </w:r>
            <w:r>
              <w:rPr>
                <w:sz w:val="24"/>
                <w:szCs w:val="24"/>
              </w:rPr>
              <w:t>4</w:t>
            </w:r>
          </w:p>
        </w:tc>
        <w:tc>
          <w:tcPr>
            <w:tcW w:w="1980" w:type="dxa"/>
            <w:tcBorders>
              <w:top w:val="single" w:sz="4" w:space="0" w:color="auto"/>
              <w:left w:val="dotted" w:sz="4" w:space="0" w:color="auto"/>
              <w:right w:val="single" w:sz="4" w:space="0" w:color="auto"/>
            </w:tcBorders>
          </w:tcPr>
          <w:p w:rsidR="00B63439" w:rsidRPr="005707F9" w:rsidRDefault="00B63439" w:rsidP="00B63439">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B63439" w:rsidTr="00B63439">
        <w:tc>
          <w:tcPr>
            <w:tcW w:w="10980" w:type="dxa"/>
            <w:gridSpan w:val="5"/>
            <w:tcBorders>
              <w:top w:val="single" w:sz="4" w:space="0" w:color="auto"/>
              <w:left w:val="single" w:sz="4" w:space="0" w:color="auto"/>
              <w:bottom w:val="dotted" w:sz="4" w:space="0" w:color="auto"/>
              <w:right w:val="dotted" w:sz="4" w:space="0" w:color="auto"/>
            </w:tcBorders>
          </w:tcPr>
          <w:p w:rsidR="00B63439" w:rsidRPr="00B30971" w:rsidRDefault="00B63439" w:rsidP="00B63439">
            <w:pPr>
              <w:rPr>
                <w:sz w:val="24"/>
                <w:szCs w:val="24"/>
              </w:rPr>
            </w:pPr>
            <w:r w:rsidRPr="00B30971">
              <w:rPr>
                <w:b/>
                <w:sz w:val="24"/>
                <w:szCs w:val="24"/>
              </w:rPr>
              <w:t>Identify Goal:</w:t>
            </w:r>
            <w:r w:rsidRPr="00B30971">
              <w:rPr>
                <w:sz w:val="24"/>
                <w:szCs w:val="24"/>
              </w:rPr>
              <w:t xml:space="preserve"> </w:t>
            </w:r>
            <w:r>
              <w:rPr>
                <w:sz w:val="24"/>
                <w:szCs w:val="24"/>
              </w:rPr>
              <w:t xml:space="preserve">  </w:t>
            </w:r>
            <w:r w:rsidR="003D4F5C">
              <w:rPr>
                <w:sz w:val="24"/>
                <w:szCs w:val="24"/>
              </w:rPr>
              <w:t xml:space="preserve">Develop Faculty DE Handbook.  </w:t>
            </w:r>
            <w:r>
              <w:rPr>
                <w:sz w:val="24"/>
                <w:szCs w:val="24"/>
              </w:rPr>
              <w:t xml:space="preserve">  </w:t>
            </w:r>
          </w:p>
          <w:p w:rsidR="00B63439" w:rsidRPr="00B30971" w:rsidRDefault="00B63439" w:rsidP="00B63439">
            <w:pPr>
              <w:rPr>
                <w:sz w:val="24"/>
                <w:szCs w:val="24"/>
              </w:rPr>
            </w:pPr>
          </w:p>
        </w:tc>
        <w:tc>
          <w:tcPr>
            <w:tcW w:w="1980" w:type="dxa"/>
            <w:vMerge w:val="restart"/>
            <w:tcBorders>
              <w:top w:val="single" w:sz="4" w:space="0" w:color="auto"/>
              <w:left w:val="dotted" w:sz="4" w:space="0" w:color="auto"/>
              <w:right w:val="single" w:sz="4" w:space="0" w:color="auto"/>
            </w:tcBorders>
          </w:tcPr>
          <w:p w:rsidR="00B63439" w:rsidRPr="003B17D4" w:rsidRDefault="00B63439" w:rsidP="00B63439">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B63439" w:rsidRPr="003B17D4" w:rsidRDefault="002D763C" w:rsidP="00B63439">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63439" w:rsidRPr="003B17D4">
              <w:rPr>
                <w:sz w:val="24"/>
                <w:szCs w:val="24"/>
              </w:rPr>
              <w:t xml:space="preserve"> 2</w:t>
            </w:r>
          </w:p>
          <w:p w:rsidR="00B63439" w:rsidRPr="003B17D4" w:rsidRDefault="002D763C" w:rsidP="00B63439">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63439" w:rsidRPr="003B17D4">
              <w:rPr>
                <w:sz w:val="24"/>
                <w:szCs w:val="24"/>
              </w:rPr>
              <w:t xml:space="preserve"> 3</w:t>
            </w:r>
          </w:p>
          <w:p w:rsidR="00B63439" w:rsidRPr="00B30971" w:rsidRDefault="00B63439" w:rsidP="00B63439">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B63439" w:rsidTr="00B63439">
        <w:tc>
          <w:tcPr>
            <w:tcW w:w="10980" w:type="dxa"/>
            <w:gridSpan w:val="5"/>
            <w:tcBorders>
              <w:top w:val="dotted" w:sz="4" w:space="0" w:color="auto"/>
              <w:left w:val="single" w:sz="4" w:space="0" w:color="auto"/>
              <w:bottom w:val="dotted" w:sz="4" w:space="0" w:color="auto"/>
              <w:right w:val="dotted" w:sz="4" w:space="0" w:color="auto"/>
            </w:tcBorders>
          </w:tcPr>
          <w:p w:rsidR="00B63439" w:rsidRPr="00B30971" w:rsidRDefault="00B63439" w:rsidP="00B63439">
            <w:pPr>
              <w:rPr>
                <w:sz w:val="24"/>
                <w:szCs w:val="24"/>
              </w:rPr>
            </w:pPr>
            <w:r w:rsidRPr="00B30971">
              <w:rPr>
                <w:b/>
                <w:sz w:val="24"/>
                <w:szCs w:val="24"/>
              </w:rPr>
              <w:t>Objective:</w:t>
            </w:r>
            <w:r w:rsidRPr="00B30971">
              <w:rPr>
                <w:sz w:val="24"/>
                <w:szCs w:val="24"/>
              </w:rPr>
              <w:t xml:space="preserve"> </w:t>
            </w:r>
            <w:r>
              <w:rPr>
                <w:sz w:val="24"/>
                <w:szCs w:val="24"/>
              </w:rPr>
              <w:tab/>
            </w:r>
            <w:r w:rsidR="003D4F5C">
              <w:rPr>
                <w:sz w:val="24"/>
                <w:szCs w:val="24"/>
              </w:rPr>
              <w:t xml:space="preserve">Provide a comprehensive DE Handbook for faculty teaching online courses to clarify policies </w:t>
            </w:r>
            <w:r w:rsidR="003D4F5C">
              <w:rPr>
                <w:sz w:val="24"/>
                <w:szCs w:val="24"/>
              </w:rPr>
              <w:tab/>
            </w:r>
            <w:r w:rsidR="003D4F5C">
              <w:rPr>
                <w:sz w:val="24"/>
                <w:szCs w:val="24"/>
              </w:rPr>
              <w:tab/>
              <w:t xml:space="preserve">and procedures for improved faculty performance in support of student access and success.  </w:t>
            </w:r>
            <w:r>
              <w:rPr>
                <w:sz w:val="24"/>
                <w:szCs w:val="24"/>
              </w:rPr>
              <w:t xml:space="preserve">  </w:t>
            </w:r>
          </w:p>
          <w:p w:rsidR="00B63439" w:rsidRPr="00B30971" w:rsidRDefault="00B63439" w:rsidP="00B63439">
            <w:pPr>
              <w:rPr>
                <w:sz w:val="24"/>
                <w:szCs w:val="24"/>
              </w:rPr>
            </w:pPr>
          </w:p>
        </w:tc>
        <w:tc>
          <w:tcPr>
            <w:tcW w:w="1980" w:type="dxa"/>
            <w:vMerge/>
            <w:tcBorders>
              <w:top w:val="single" w:sz="4" w:space="0" w:color="auto"/>
              <w:left w:val="dotted" w:sz="4" w:space="0" w:color="auto"/>
              <w:right w:val="single" w:sz="4" w:space="0" w:color="auto"/>
            </w:tcBorders>
          </w:tcPr>
          <w:p w:rsidR="00B63439" w:rsidRPr="00B30971" w:rsidRDefault="00B63439" w:rsidP="00B63439">
            <w:pPr>
              <w:jc w:val="center"/>
              <w:rPr>
                <w:sz w:val="24"/>
                <w:szCs w:val="24"/>
              </w:rPr>
            </w:pPr>
          </w:p>
        </w:tc>
      </w:tr>
      <w:tr w:rsidR="00B63439" w:rsidTr="00B63439">
        <w:tc>
          <w:tcPr>
            <w:tcW w:w="10980" w:type="dxa"/>
            <w:gridSpan w:val="5"/>
            <w:tcBorders>
              <w:top w:val="dotted" w:sz="4" w:space="0" w:color="auto"/>
              <w:left w:val="single" w:sz="4" w:space="0" w:color="auto"/>
              <w:bottom w:val="dotted" w:sz="4" w:space="0" w:color="auto"/>
              <w:right w:val="dotted" w:sz="4" w:space="0" w:color="auto"/>
            </w:tcBorders>
          </w:tcPr>
          <w:p w:rsidR="00B63439" w:rsidRDefault="00B63439" w:rsidP="00B63439">
            <w:pPr>
              <w:rPr>
                <w:sz w:val="24"/>
                <w:szCs w:val="24"/>
              </w:rPr>
            </w:pPr>
            <w:r w:rsidRPr="00B30971">
              <w:rPr>
                <w:b/>
                <w:sz w:val="24"/>
                <w:szCs w:val="24"/>
              </w:rPr>
              <w:t>Task(s):</w:t>
            </w:r>
            <w:r w:rsidRPr="00B30971">
              <w:rPr>
                <w:sz w:val="24"/>
                <w:szCs w:val="24"/>
              </w:rPr>
              <w:t xml:space="preserve"> </w:t>
            </w:r>
            <w:r w:rsidR="003D4F5C">
              <w:rPr>
                <w:sz w:val="24"/>
                <w:szCs w:val="24"/>
              </w:rPr>
              <w:tab/>
              <w:t xml:space="preserve">1.  Establish a DE Handbook Task Force with 2-3 members; </w:t>
            </w:r>
          </w:p>
          <w:p w:rsidR="003D4F5C" w:rsidRDefault="003D4F5C" w:rsidP="00B63439">
            <w:pPr>
              <w:rPr>
                <w:sz w:val="24"/>
                <w:szCs w:val="24"/>
              </w:rPr>
            </w:pPr>
            <w:r>
              <w:rPr>
                <w:sz w:val="24"/>
                <w:szCs w:val="24"/>
              </w:rPr>
              <w:tab/>
            </w:r>
            <w:r>
              <w:rPr>
                <w:sz w:val="24"/>
                <w:szCs w:val="24"/>
              </w:rPr>
              <w:tab/>
              <w:t xml:space="preserve">2.  Develop a proposed DE Handbook for approval through the DE Committee and Academic </w:t>
            </w:r>
            <w:r>
              <w:rPr>
                <w:sz w:val="24"/>
                <w:szCs w:val="24"/>
              </w:rPr>
              <w:tab/>
            </w:r>
            <w:r>
              <w:rPr>
                <w:sz w:val="24"/>
                <w:szCs w:val="24"/>
              </w:rPr>
              <w:tab/>
              <w:t>Senate; and</w:t>
            </w:r>
          </w:p>
          <w:p w:rsidR="003D4F5C" w:rsidRPr="00B30971" w:rsidRDefault="003D4F5C" w:rsidP="00B63439">
            <w:pPr>
              <w:rPr>
                <w:sz w:val="24"/>
                <w:szCs w:val="24"/>
              </w:rPr>
            </w:pPr>
            <w:r>
              <w:rPr>
                <w:sz w:val="24"/>
                <w:szCs w:val="24"/>
              </w:rPr>
              <w:tab/>
            </w:r>
            <w:r>
              <w:rPr>
                <w:sz w:val="24"/>
                <w:szCs w:val="24"/>
              </w:rPr>
              <w:tab/>
              <w:t xml:space="preserve">3.  Post the DE Handbook on the DE Webpage for faculty access.  </w:t>
            </w:r>
          </w:p>
          <w:p w:rsidR="00B63439" w:rsidRPr="00B30971" w:rsidRDefault="00B63439" w:rsidP="00B63439">
            <w:pPr>
              <w:rPr>
                <w:sz w:val="24"/>
                <w:szCs w:val="24"/>
              </w:rPr>
            </w:pPr>
          </w:p>
        </w:tc>
        <w:tc>
          <w:tcPr>
            <w:tcW w:w="1980" w:type="dxa"/>
            <w:vMerge/>
            <w:tcBorders>
              <w:left w:val="dotted" w:sz="4" w:space="0" w:color="auto"/>
              <w:right w:val="single" w:sz="4" w:space="0" w:color="auto"/>
            </w:tcBorders>
          </w:tcPr>
          <w:p w:rsidR="00B63439" w:rsidRPr="00B30971" w:rsidRDefault="00B63439" w:rsidP="00B63439">
            <w:pPr>
              <w:rPr>
                <w:sz w:val="24"/>
                <w:szCs w:val="24"/>
              </w:rPr>
            </w:pPr>
          </w:p>
        </w:tc>
      </w:tr>
      <w:tr w:rsidR="00B63439" w:rsidTr="00B63439">
        <w:tc>
          <w:tcPr>
            <w:tcW w:w="10980" w:type="dxa"/>
            <w:gridSpan w:val="5"/>
            <w:tcBorders>
              <w:top w:val="dotted" w:sz="4" w:space="0" w:color="auto"/>
              <w:left w:val="single" w:sz="4" w:space="0" w:color="auto"/>
              <w:bottom w:val="single" w:sz="4" w:space="0" w:color="auto"/>
              <w:right w:val="dotted" w:sz="4" w:space="0" w:color="auto"/>
            </w:tcBorders>
          </w:tcPr>
          <w:p w:rsidR="00B63439" w:rsidRPr="00B30971" w:rsidRDefault="00B63439" w:rsidP="00B63439">
            <w:pPr>
              <w:rPr>
                <w:sz w:val="24"/>
                <w:szCs w:val="24"/>
              </w:rPr>
            </w:pPr>
            <w:r w:rsidRPr="00B30971">
              <w:rPr>
                <w:b/>
                <w:sz w:val="24"/>
                <w:szCs w:val="24"/>
              </w:rPr>
              <w:t>Timeline:</w:t>
            </w:r>
            <w:r w:rsidRPr="00B30971">
              <w:rPr>
                <w:sz w:val="24"/>
                <w:szCs w:val="24"/>
              </w:rPr>
              <w:t xml:space="preserve"> </w:t>
            </w:r>
            <w:r w:rsidR="003D4F5C">
              <w:rPr>
                <w:sz w:val="24"/>
                <w:szCs w:val="24"/>
              </w:rPr>
              <w:tab/>
            </w:r>
            <w:r w:rsidR="002D763C" w:rsidRPr="002D763C">
              <w:rPr>
                <w:b/>
                <w:sz w:val="24"/>
                <w:szCs w:val="24"/>
              </w:rPr>
              <w:t>Spring 2014:</w:t>
            </w:r>
            <w:r w:rsidR="002D763C">
              <w:rPr>
                <w:sz w:val="24"/>
                <w:szCs w:val="24"/>
              </w:rPr>
              <w:t xml:space="preserve">  Complete the above tasks during Spring 2014.  </w:t>
            </w:r>
          </w:p>
          <w:p w:rsidR="00B63439" w:rsidRPr="00B30971" w:rsidRDefault="00B63439" w:rsidP="00B63439">
            <w:pPr>
              <w:rPr>
                <w:sz w:val="24"/>
                <w:szCs w:val="24"/>
              </w:rPr>
            </w:pPr>
          </w:p>
        </w:tc>
        <w:tc>
          <w:tcPr>
            <w:tcW w:w="1980" w:type="dxa"/>
            <w:vMerge/>
            <w:tcBorders>
              <w:left w:val="dotted" w:sz="4" w:space="0" w:color="auto"/>
              <w:bottom w:val="single" w:sz="4" w:space="0" w:color="auto"/>
              <w:right w:val="single" w:sz="4" w:space="0" w:color="auto"/>
            </w:tcBorders>
          </w:tcPr>
          <w:p w:rsidR="00B63439" w:rsidRPr="00B30971" w:rsidRDefault="00B63439" w:rsidP="00B63439">
            <w:pPr>
              <w:rPr>
                <w:sz w:val="24"/>
                <w:szCs w:val="24"/>
              </w:rPr>
            </w:pPr>
          </w:p>
        </w:tc>
      </w:tr>
      <w:tr w:rsidR="00B63439" w:rsidTr="00B63439">
        <w:trPr>
          <w:trHeight w:val="517"/>
        </w:trPr>
        <w:tc>
          <w:tcPr>
            <w:tcW w:w="1980" w:type="dxa"/>
            <w:gridSpan w:val="2"/>
            <w:tcBorders>
              <w:left w:val="single" w:sz="4" w:space="0" w:color="auto"/>
              <w:bottom w:val="single" w:sz="4" w:space="0" w:color="auto"/>
              <w:right w:val="single" w:sz="4" w:space="0" w:color="auto"/>
            </w:tcBorders>
            <w:vAlign w:val="center"/>
          </w:tcPr>
          <w:p w:rsidR="00B63439" w:rsidRPr="00455861" w:rsidRDefault="00B63439" w:rsidP="00B63439">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B63439" w:rsidRPr="00455861" w:rsidRDefault="00B63439" w:rsidP="00B63439">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B63439" w:rsidRPr="00455861" w:rsidRDefault="00B63439" w:rsidP="00B63439">
            <w:pPr>
              <w:jc w:val="center"/>
              <w:rPr>
                <w:b/>
                <w:sz w:val="24"/>
                <w:szCs w:val="24"/>
              </w:rPr>
            </w:pPr>
            <w:r w:rsidRPr="00455861">
              <w:rPr>
                <w:b/>
                <w:sz w:val="24"/>
                <w:szCs w:val="24"/>
              </w:rPr>
              <w:t>RESOURCE PLAN</w:t>
            </w:r>
          </w:p>
          <w:p w:rsidR="00B63439" w:rsidRPr="00455861" w:rsidRDefault="00B63439" w:rsidP="00B63439">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B63439" w:rsidRPr="00455861" w:rsidRDefault="00B63439" w:rsidP="00B63439">
            <w:pPr>
              <w:jc w:val="center"/>
              <w:rPr>
                <w:b/>
                <w:sz w:val="24"/>
                <w:szCs w:val="24"/>
              </w:rPr>
            </w:pPr>
            <w:r w:rsidRPr="00455861">
              <w:rPr>
                <w:b/>
                <w:sz w:val="24"/>
                <w:szCs w:val="24"/>
              </w:rPr>
              <w:t>BUDGET REQUEST</w:t>
            </w:r>
          </w:p>
        </w:tc>
      </w:tr>
      <w:tr w:rsidR="00B63439" w:rsidTr="00B63439">
        <w:trPr>
          <w:trHeight w:val="517"/>
        </w:trPr>
        <w:tc>
          <w:tcPr>
            <w:tcW w:w="1980" w:type="dxa"/>
            <w:gridSpan w:val="2"/>
            <w:tcBorders>
              <w:left w:val="single" w:sz="4" w:space="0" w:color="auto"/>
              <w:bottom w:val="single" w:sz="4" w:space="0" w:color="auto"/>
              <w:right w:val="single" w:sz="4" w:space="0" w:color="auto"/>
            </w:tcBorders>
          </w:tcPr>
          <w:p w:rsidR="00B63439" w:rsidRDefault="00B63439" w:rsidP="00B63439">
            <w:pPr>
              <w:rPr>
                <w:sz w:val="24"/>
                <w:szCs w:val="24"/>
              </w:rPr>
            </w:pPr>
          </w:p>
          <w:p w:rsidR="00B63439" w:rsidRDefault="00B63439" w:rsidP="00B63439">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B63439" w:rsidRPr="005707F9" w:rsidRDefault="00B63439" w:rsidP="00B63439">
            <w:pPr>
              <w:rPr>
                <w:sz w:val="24"/>
                <w:szCs w:val="24"/>
              </w:rPr>
            </w:pPr>
          </w:p>
          <w:p w:rsidR="00B63439" w:rsidRPr="005707F9" w:rsidRDefault="00B63439" w:rsidP="00B63439">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B63439" w:rsidRDefault="00B63439" w:rsidP="00B63439">
            <w:pPr>
              <w:rPr>
                <w:sz w:val="24"/>
                <w:szCs w:val="24"/>
              </w:rPr>
            </w:pPr>
          </w:p>
          <w:p w:rsidR="00B63439" w:rsidRDefault="00B63439" w:rsidP="00B6343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B63439" w:rsidRPr="005707F9" w:rsidRDefault="00B63439" w:rsidP="00B6343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B63439" w:rsidRPr="005707F9" w:rsidRDefault="00B63439" w:rsidP="00B63439">
            <w:pPr>
              <w:rPr>
                <w:sz w:val="24"/>
                <w:szCs w:val="24"/>
              </w:rPr>
            </w:pPr>
          </w:p>
          <w:p w:rsidR="00B63439" w:rsidRPr="005707F9" w:rsidRDefault="00B63439" w:rsidP="00B63439">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B63439" w:rsidRPr="005707F9" w:rsidRDefault="00B63439" w:rsidP="00B6343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B63439" w:rsidRPr="005707F9" w:rsidRDefault="002D763C" w:rsidP="00B63439">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B63439">
              <w:rPr>
                <w:sz w:val="24"/>
                <w:szCs w:val="24"/>
              </w:rPr>
              <w:t xml:space="preserve"> M</w:t>
            </w:r>
            <w:r w:rsidR="00B63439" w:rsidRPr="005707F9">
              <w:rPr>
                <w:sz w:val="24"/>
                <w:szCs w:val="24"/>
              </w:rPr>
              <w:t>arketing</w:t>
            </w:r>
          </w:p>
          <w:p w:rsidR="00B63439" w:rsidRDefault="002D763C" w:rsidP="00B6343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63439">
              <w:rPr>
                <w:sz w:val="24"/>
                <w:szCs w:val="24"/>
              </w:rPr>
              <w:t xml:space="preserve"> Technology</w:t>
            </w:r>
          </w:p>
          <w:p w:rsidR="00B63439" w:rsidRDefault="002D763C" w:rsidP="00B6343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63439">
              <w:rPr>
                <w:sz w:val="24"/>
                <w:szCs w:val="24"/>
              </w:rPr>
              <w:t xml:space="preserve"> Professional Development</w:t>
            </w:r>
          </w:p>
          <w:p w:rsidR="00B63439" w:rsidRPr="005707F9" w:rsidRDefault="00B63439" w:rsidP="00B6343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B63439" w:rsidRPr="005707F9" w:rsidRDefault="00B63439" w:rsidP="002D763C">
            <w:pPr>
              <w:jc w:val="right"/>
              <w:rPr>
                <w:sz w:val="24"/>
                <w:szCs w:val="24"/>
              </w:rPr>
            </w:pPr>
            <w:r w:rsidRPr="005707F9">
              <w:rPr>
                <w:sz w:val="24"/>
                <w:szCs w:val="24"/>
              </w:rPr>
              <w:t>$</w:t>
            </w:r>
            <w:r w:rsidR="002D763C" w:rsidRPr="002D763C">
              <w:rPr>
                <w:sz w:val="24"/>
                <w:szCs w:val="24"/>
                <w:u w:val="single"/>
              </w:rPr>
              <w:t xml:space="preserve">  </w:t>
            </w:r>
            <w:r w:rsidR="002D763C">
              <w:rPr>
                <w:sz w:val="24"/>
                <w:szCs w:val="24"/>
                <w:u w:val="single"/>
              </w:rPr>
              <w:t>0*</w:t>
            </w:r>
          </w:p>
        </w:tc>
      </w:tr>
    </w:tbl>
    <w:p w:rsidR="00B63439" w:rsidRDefault="00B63439" w:rsidP="0013472B">
      <w:pPr>
        <w:spacing w:after="0" w:line="240" w:lineRule="auto"/>
        <w:rPr>
          <w:b/>
          <w:sz w:val="40"/>
          <w:szCs w:val="40"/>
        </w:rPr>
      </w:pPr>
    </w:p>
    <w:p w:rsidR="002D763C" w:rsidRDefault="002D763C" w:rsidP="002D763C">
      <w:pPr>
        <w:spacing w:after="0" w:line="240" w:lineRule="auto"/>
        <w:ind w:left="360" w:firstLine="720"/>
        <w:rPr>
          <w:sz w:val="24"/>
          <w:szCs w:val="24"/>
        </w:rPr>
      </w:pPr>
      <w:r>
        <w:rPr>
          <w:sz w:val="24"/>
          <w:szCs w:val="24"/>
        </w:rPr>
        <w:t xml:space="preserve">*NOTE:   No funding is required to accomplish this goal.    </w:t>
      </w:r>
      <w:r>
        <w:rPr>
          <w:sz w:val="24"/>
          <w:szCs w:val="24"/>
        </w:rPr>
        <w:br w:type="page"/>
      </w:r>
    </w:p>
    <w:p w:rsidR="00B63439" w:rsidRDefault="00B63439" w:rsidP="0013472B">
      <w:pPr>
        <w:spacing w:after="0" w:line="240" w:lineRule="auto"/>
        <w:rPr>
          <w:b/>
          <w:sz w:val="40"/>
          <w:szCs w:val="40"/>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B63439" w:rsidTr="00B63439">
        <w:tc>
          <w:tcPr>
            <w:tcW w:w="630" w:type="dxa"/>
            <w:tcBorders>
              <w:top w:val="single" w:sz="4" w:space="0" w:color="auto"/>
              <w:left w:val="single" w:sz="4" w:space="0" w:color="auto"/>
              <w:bottom w:val="dotted" w:sz="4" w:space="0" w:color="auto"/>
              <w:right w:val="dotted" w:sz="4" w:space="0" w:color="auto"/>
            </w:tcBorders>
          </w:tcPr>
          <w:p w:rsidR="00B63439" w:rsidRPr="00D001FF" w:rsidRDefault="00B63439" w:rsidP="00B63439">
            <w:pPr>
              <w:jc w:val="center"/>
              <w:rPr>
                <w:b/>
                <w:sz w:val="40"/>
                <w:szCs w:val="40"/>
              </w:rPr>
            </w:pPr>
            <w:r>
              <w:rPr>
                <w:b/>
                <w:sz w:val="40"/>
                <w:szCs w:val="40"/>
              </w:rPr>
              <w:t>5</w:t>
            </w:r>
          </w:p>
        </w:tc>
        <w:tc>
          <w:tcPr>
            <w:tcW w:w="10350" w:type="dxa"/>
            <w:gridSpan w:val="4"/>
            <w:tcBorders>
              <w:top w:val="single" w:sz="4" w:space="0" w:color="auto"/>
              <w:left w:val="single" w:sz="4" w:space="0" w:color="auto"/>
              <w:bottom w:val="dotted" w:sz="4" w:space="0" w:color="auto"/>
              <w:right w:val="dotted" w:sz="4" w:space="0" w:color="auto"/>
            </w:tcBorders>
          </w:tcPr>
          <w:p w:rsidR="00B63439" w:rsidRPr="00B30971" w:rsidRDefault="00B63439" w:rsidP="00B63439">
            <w:pPr>
              <w:jc w:val="center"/>
              <w:rPr>
                <w:b/>
                <w:sz w:val="32"/>
                <w:szCs w:val="32"/>
              </w:rPr>
            </w:pPr>
            <w:r w:rsidRPr="00B30971">
              <w:rPr>
                <w:b/>
                <w:sz w:val="32"/>
                <w:szCs w:val="32"/>
              </w:rPr>
              <w:t>FUTURE PROGRAM GOAL #</w:t>
            </w:r>
            <w:r>
              <w:rPr>
                <w:b/>
                <w:sz w:val="32"/>
                <w:szCs w:val="32"/>
              </w:rPr>
              <w:t>5</w:t>
            </w:r>
          </w:p>
          <w:p w:rsidR="00B63439" w:rsidRPr="005707F9" w:rsidRDefault="00B63439" w:rsidP="00B63439">
            <w:pPr>
              <w:jc w:val="center"/>
              <w:rPr>
                <w:b/>
                <w:sz w:val="24"/>
                <w:szCs w:val="24"/>
              </w:rPr>
            </w:pPr>
            <w:r w:rsidRPr="005707F9">
              <w:rPr>
                <w:sz w:val="24"/>
                <w:szCs w:val="24"/>
              </w:rPr>
              <w:t>Budget Priority #</w:t>
            </w:r>
            <w:r>
              <w:rPr>
                <w:sz w:val="24"/>
                <w:szCs w:val="24"/>
              </w:rPr>
              <w:t>5</w:t>
            </w:r>
          </w:p>
        </w:tc>
        <w:tc>
          <w:tcPr>
            <w:tcW w:w="1980" w:type="dxa"/>
            <w:tcBorders>
              <w:top w:val="single" w:sz="4" w:space="0" w:color="auto"/>
              <w:left w:val="dotted" w:sz="4" w:space="0" w:color="auto"/>
              <w:right w:val="single" w:sz="4" w:space="0" w:color="auto"/>
            </w:tcBorders>
          </w:tcPr>
          <w:p w:rsidR="00B63439" w:rsidRPr="005707F9" w:rsidRDefault="00B63439" w:rsidP="00B63439">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B63439" w:rsidTr="00B63439">
        <w:tc>
          <w:tcPr>
            <w:tcW w:w="10980" w:type="dxa"/>
            <w:gridSpan w:val="5"/>
            <w:tcBorders>
              <w:top w:val="single" w:sz="4" w:space="0" w:color="auto"/>
              <w:left w:val="single" w:sz="4" w:space="0" w:color="auto"/>
              <w:bottom w:val="dotted" w:sz="4" w:space="0" w:color="auto"/>
              <w:right w:val="dotted" w:sz="4" w:space="0" w:color="auto"/>
            </w:tcBorders>
          </w:tcPr>
          <w:p w:rsidR="00B63439" w:rsidRPr="00B30971" w:rsidRDefault="00B63439" w:rsidP="00B63439">
            <w:pPr>
              <w:rPr>
                <w:sz w:val="24"/>
                <w:szCs w:val="24"/>
              </w:rPr>
            </w:pPr>
            <w:r w:rsidRPr="00B30971">
              <w:rPr>
                <w:b/>
                <w:sz w:val="24"/>
                <w:szCs w:val="24"/>
              </w:rPr>
              <w:t>Identify Goal:</w:t>
            </w:r>
            <w:r w:rsidRPr="00B30971">
              <w:rPr>
                <w:sz w:val="24"/>
                <w:szCs w:val="24"/>
              </w:rPr>
              <w:t xml:space="preserve"> </w:t>
            </w:r>
            <w:r>
              <w:rPr>
                <w:sz w:val="24"/>
                <w:szCs w:val="24"/>
              </w:rPr>
              <w:t xml:space="preserve">  </w:t>
            </w:r>
            <w:r w:rsidR="00FD4E6D">
              <w:rPr>
                <w:sz w:val="24"/>
                <w:szCs w:val="24"/>
              </w:rPr>
              <w:t xml:space="preserve">Develop </w:t>
            </w:r>
            <w:r w:rsidR="00BA1E88">
              <w:rPr>
                <w:sz w:val="24"/>
                <w:szCs w:val="24"/>
              </w:rPr>
              <w:t xml:space="preserve">a 3-Year </w:t>
            </w:r>
            <w:r w:rsidR="00FD4E6D">
              <w:rPr>
                <w:sz w:val="24"/>
                <w:szCs w:val="24"/>
              </w:rPr>
              <w:t xml:space="preserve">Distance Education Plan.    </w:t>
            </w:r>
          </w:p>
          <w:p w:rsidR="00B63439" w:rsidRPr="00B30971" w:rsidRDefault="00B63439" w:rsidP="00B63439">
            <w:pPr>
              <w:rPr>
                <w:sz w:val="24"/>
                <w:szCs w:val="24"/>
              </w:rPr>
            </w:pPr>
          </w:p>
        </w:tc>
        <w:tc>
          <w:tcPr>
            <w:tcW w:w="1980" w:type="dxa"/>
            <w:vMerge w:val="restart"/>
            <w:tcBorders>
              <w:top w:val="single" w:sz="4" w:space="0" w:color="auto"/>
              <w:left w:val="dotted" w:sz="4" w:space="0" w:color="auto"/>
              <w:right w:val="single" w:sz="4" w:space="0" w:color="auto"/>
            </w:tcBorders>
          </w:tcPr>
          <w:p w:rsidR="00B63439" w:rsidRPr="003B17D4" w:rsidRDefault="00B9246E" w:rsidP="00B63439">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63439" w:rsidRPr="003B17D4">
              <w:rPr>
                <w:sz w:val="24"/>
                <w:szCs w:val="24"/>
              </w:rPr>
              <w:t xml:space="preserve"> 1</w:t>
            </w:r>
          </w:p>
          <w:p w:rsidR="00B63439" w:rsidRPr="003B17D4" w:rsidRDefault="00B9246E" w:rsidP="00B63439">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63439" w:rsidRPr="003B17D4">
              <w:rPr>
                <w:sz w:val="24"/>
                <w:szCs w:val="24"/>
              </w:rPr>
              <w:t xml:space="preserve"> 2</w:t>
            </w:r>
          </w:p>
          <w:p w:rsidR="00B63439" w:rsidRPr="003B17D4" w:rsidRDefault="00B9246E" w:rsidP="00B63439">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63439" w:rsidRPr="003B17D4">
              <w:rPr>
                <w:sz w:val="24"/>
                <w:szCs w:val="24"/>
              </w:rPr>
              <w:t xml:space="preserve"> 3</w:t>
            </w:r>
          </w:p>
          <w:p w:rsidR="00B63439" w:rsidRPr="00B30971" w:rsidRDefault="00B9246E" w:rsidP="00B63439">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63439" w:rsidRPr="003B17D4">
              <w:rPr>
                <w:sz w:val="24"/>
                <w:szCs w:val="24"/>
              </w:rPr>
              <w:t xml:space="preserve"> 4</w:t>
            </w:r>
          </w:p>
        </w:tc>
      </w:tr>
      <w:tr w:rsidR="00B63439" w:rsidTr="00B63439">
        <w:tc>
          <w:tcPr>
            <w:tcW w:w="10980" w:type="dxa"/>
            <w:gridSpan w:val="5"/>
            <w:tcBorders>
              <w:top w:val="dotted" w:sz="4" w:space="0" w:color="auto"/>
              <w:left w:val="single" w:sz="4" w:space="0" w:color="auto"/>
              <w:bottom w:val="dotted" w:sz="4" w:space="0" w:color="auto"/>
              <w:right w:val="dotted" w:sz="4" w:space="0" w:color="auto"/>
            </w:tcBorders>
          </w:tcPr>
          <w:p w:rsidR="00B63439" w:rsidRPr="00B30971" w:rsidRDefault="00B63439" w:rsidP="00B63439">
            <w:pPr>
              <w:rPr>
                <w:sz w:val="24"/>
                <w:szCs w:val="24"/>
              </w:rPr>
            </w:pPr>
            <w:r w:rsidRPr="00B30971">
              <w:rPr>
                <w:b/>
                <w:sz w:val="24"/>
                <w:szCs w:val="24"/>
              </w:rPr>
              <w:t>Objective:</w:t>
            </w:r>
            <w:r w:rsidRPr="00B30971">
              <w:rPr>
                <w:sz w:val="24"/>
                <w:szCs w:val="24"/>
              </w:rPr>
              <w:t xml:space="preserve"> </w:t>
            </w:r>
            <w:r>
              <w:rPr>
                <w:sz w:val="24"/>
                <w:szCs w:val="24"/>
              </w:rPr>
              <w:tab/>
            </w:r>
            <w:r w:rsidR="00FD4E6D">
              <w:rPr>
                <w:sz w:val="24"/>
                <w:szCs w:val="24"/>
              </w:rPr>
              <w:t xml:space="preserve">Through a process of collaborative consultation, develop a </w:t>
            </w:r>
            <w:r w:rsidR="00BA1E88">
              <w:rPr>
                <w:sz w:val="24"/>
                <w:szCs w:val="24"/>
              </w:rPr>
              <w:t xml:space="preserve">3-year </w:t>
            </w:r>
            <w:r w:rsidR="00FD4E6D">
              <w:rPr>
                <w:sz w:val="24"/>
                <w:szCs w:val="24"/>
              </w:rPr>
              <w:t xml:space="preserve">plan to guide the planning </w:t>
            </w:r>
            <w:r w:rsidR="00BA1E88">
              <w:rPr>
                <w:sz w:val="24"/>
                <w:szCs w:val="24"/>
              </w:rPr>
              <w:tab/>
            </w:r>
            <w:r w:rsidR="00BA1E88">
              <w:rPr>
                <w:sz w:val="24"/>
                <w:szCs w:val="24"/>
              </w:rPr>
              <w:tab/>
            </w:r>
            <w:r w:rsidR="00FD4E6D">
              <w:rPr>
                <w:sz w:val="24"/>
                <w:szCs w:val="24"/>
              </w:rPr>
              <w:t xml:space="preserve">and implementation and continuous improvement of distance education at IVC in support of </w:t>
            </w:r>
            <w:r w:rsidR="00FD4E6D">
              <w:rPr>
                <w:sz w:val="24"/>
                <w:szCs w:val="24"/>
              </w:rPr>
              <w:tab/>
            </w:r>
            <w:r w:rsidR="00FD4E6D">
              <w:rPr>
                <w:sz w:val="24"/>
                <w:szCs w:val="24"/>
              </w:rPr>
              <w:tab/>
              <w:t xml:space="preserve">student access and success.    </w:t>
            </w:r>
            <w:r>
              <w:rPr>
                <w:sz w:val="24"/>
                <w:szCs w:val="24"/>
              </w:rPr>
              <w:t xml:space="preserve"> </w:t>
            </w:r>
          </w:p>
          <w:p w:rsidR="00B63439" w:rsidRPr="00B30971" w:rsidRDefault="00B63439" w:rsidP="00B63439">
            <w:pPr>
              <w:rPr>
                <w:sz w:val="24"/>
                <w:szCs w:val="24"/>
              </w:rPr>
            </w:pPr>
          </w:p>
        </w:tc>
        <w:tc>
          <w:tcPr>
            <w:tcW w:w="1980" w:type="dxa"/>
            <w:vMerge/>
            <w:tcBorders>
              <w:top w:val="single" w:sz="4" w:space="0" w:color="auto"/>
              <w:left w:val="dotted" w:sz="4" w:space="0" w:color="auto"/>
              <w:right w:val="single" w:sz="4" w:space="0" w:color="auto"/>
            </w:tcBorders>
          </w:tcPr>
          <w:p w:rsidR="00B63439" w:rsidRPr="00B30971" w:rsidRDefault="00B63439" w:rsidP="00B63439">
            <w:pPr>
              <w:jc w:val="center"/>
              <w:rPr>
                <w:sz w:val="24"/>
                <w:szCs w:val="24"/>
              </w:rPr>
            </w:pPr>
          </w:p>
        </w:tc>
      </w:tr>
      <w:tr w:rsidR="00B63439" w:rsidTr="00B63439">
        <w:tc>
          <w:tcPr>
            <w:tcW w:w="10980" w:type="dxa"/>
            <w:gridSpan w:val="5"/>
            <w:tcBorders>
              <w:top w:val="dotted" w:sz="4" w:space="0" w:color="auto"/>
              <w:left w:val="single" w:sz="4" w:space="0" w:color="auto"/>
              <w:bottom w:val="dotted" w:sz="4" w:space="0" w:color="auto"/>
              <w:right w:val="dotted" w:sz="4" w:space="0" w:color="auto"/>
            </w:tcBorders>
          </w:tcPr>
          <w:p w:rsidR="00FD4E6D" w:rsidRDefault="00B63439" w:rsidP="00FD4E6D">
            <w:pPr>
              <w:rPr>
                <w:sz w:val="24"/>
                <w:szCs w:val="24"/>
              </w:rPr>
            </w:pPr>
            <w:r w:rsidRPr="00B30971">
              <w:rPr>
                <w:b/>
                <w:sz w:val="24"/>
                <w:szCs w:val="24"/>
              </w:rPr>
              <w:t>Task(s):</w:t>
            </w:r>
            <w:r w:rsidRPr="00B30971">
              <w:rPr>
                <w:sz w:val="24"/>
                <w:szCs w:val="24"/>
              </w:rPr>
              <w:t xml:space="preserve"> </w:t>
            </w:r>
            <w:r w:rsidR="00FD4E6D">
              <w:rPr>
                <w:sz w:val="24"/>
                <w:szCs w:val="24"/>
              </w:rPr>
              <w:tab/>
              <w:t xml:space="preserve">1.  Establish a DE Education Plan Task Force with </w:t>
            </w:r>
            <w:r w:rsidR="00BA1E88">
              <w:rPr>
                <w:sz w:val="24"/>
                <w:szCs w:val="24"/>
              </w:rPr>
              <w:t xml:space="preserve">members from the DE Committee and </w:t>
            </w:r>
            <w:r w:rsidR="00BA1E88">
              <w:rPr>
                <w:sz w:val="24"/>
                <w:szCs w:val="24"/>
              </w:rPr>
              <w:tab/>
            </w:r>
            <w:r w:rsidR="00BA1E88">
              <w:rPr>
                <w:sz w:val="24"/>
                <w:szCs w:val="24"/>
              </w:rPr>
              <w:tab/>
            </w:r>
            <w:r w:rsidR="00BA1E88">
              <w:rPr>
                <w:sz w:val="24"/>
                <w:szCs w:val="24"/>
              </w:rPr>
              <w:tab/>
              <w:t>Information Technology</w:t>
            </w:r>
            <w:r w:rsidR="00FD4E6D">
              <w:rPr>
                <w:sz w:val="24"/>
                <w:szCs w:val="24"/>
              </w:rPr>
              <w:t xml:space="preserve">; </w:t>
            </w:r>
          </w:p>
          <w:p w:rsidR="00FD4E6D" w:rsidRDefault="00FD4E6D" w:rsidP="00FD4E6D">
            <w:pPr>
              <w:rPr>
                <w:sz w:val="24"/>
                <w:szCs w:val="24"/>
              </w:rPr>
            </w:pPr>
            <w:r>
              <w:rPr>
                <w:sz w:val="24"/>
                <w:szCs w:val="24"/>
              </w:rPr>
              <w:tab/>
            </w:r>
            <w:r>
              <w:rPr>
                <w:sz w:val="24"/>
                <w:szCs w:val="24"/>
              </w:rPr>
              <w:tab/>
              <w:t>2.  Develop a proposed DE Plan for approval through the DE Committee</w:t>
            </w:r>
            <w:r w:rsidR="00BA1E88">
              <w:rPr>
                <w:sz w:val="24"/>
                <w:szCs w:val="24"/>
              </w:rPr>
              <w:t xml:space="preserve"> and </w:t>
            </w:r>
            <w:r>
              <w:rPr>
                <w:sz w:val="24"/>
                <w:szCs w:val="24"/>
              </w:rPr>
              <w:t xml:space="preserve">Academic </w:t>
            </w:r>
            <w:r>
              <w:rPr>
                <w:sz w:val="24"/>
                <w:szCs w:val="24"/>
              </w:rPr>
              <w:tab/>
            </w:r>
            <w:r>
              <w:rPr>
                <w:sz w:val="24"/>
                <w:szCs w:val="24"/>
              </w:rPr>
              <w:tab/>
            </w:r>
            <w:r w:rsidR="00BA1E88">
              <w:rPr>
                <w:sz w:val="24"/>
                <w:szCs w:val="24"/>
              </w:rPr>
              <w:tab/>
            </w:r>
            <w:r>
              <w:rPr>
                <w:sz w:val="24"/>
                <w:szCs w:val="24"/>
              </w:rPr>
              <w:t xml:space="preserve">Senate, </w:t>
            </w:r>
            <w:r w:rsidR="00BA1E88">
              <w:rPr>
                <w:sz w:val="24"/>
                <w:szCs w:val="24"/>
              </w:rPr>
              <w:t xml:space="preserve">supported by Information Technology, which is informed by the Educational Master </w:t>
            </w:r>
            <w:r w:rsidR="00BA1E88">
              <w:rPr>
                <w:sz w:val="24"/>
                <w:szCs w:val="24"/>
              </w:rPr>
              <w:tab/>
            </w:r>
            <w:r w:rsidR="00BA1E88">
              <w:rPr>
                <w:sz w:val="24"/>
                <w:szCs w:val="24"/>
              </w:rPr>
              <w:tab/>
              <w:t xml:space="preserve">Plan and aligned with the college’s Strategic Plan and integrated with the Technology Plan.  </w:t>
            </w:r>
          </w:p>
          <w:p w:rsidR="00B63439" w:rsidRPr="00B30971" w:rsidRDefault="00B63439" w:rsidP="00B63439">
            <w:pPr>
              <w:rPr>
                <w:sz w:val="24"/>
                <w:szCs w:val="24"/>
              </w:rPr>
            </w:pPr>
          </w:p>
          <w:p w:rsidR="00B63439" w:rsidRPr="00B30971" w:rsidRDefault="00B63439" w:rsidP="00B63439">
            <w:pPr>
              <w:rPr>
                <w:sz w:val="24"/>
                <w:szCs w:val="24"/>
              </w:rPr>
            </w:pPr>
          </w:p>
        </w:tc>
        <w:tc>
          <w:tcPr>
            <w:tcW w:w="1980" w:type="dxa"/>
            <w:vMerge/>
            <w:tcBorders>
              <w:left w:val="dotted" w:sz="4" w:space="0" w:color="auto"/>
              <w:right w:val="single" w:sz="4" w:space="0" w:color="auto"/>
            </w:tcBorders>
          </w:tcPr>
          <w:p w:rsidR="00B63439" w:rsidRPr="00B30971" w:rsidRDefault="00B63439" w:rsidP="00B63439">
            <w:pPr>
              <w:rPr>
                <w:sz w:val="24"/>
                <w:szCs w:val="24"/>
              </w:rPr>
            </w:pPr>
          </w:p>
        </w:tc>
      </w:tr>
      <w:tr w:rsidR="00B63439" w:rsidTr="00B63439">
        <w:tc>
          <w:tcPr>
            <w:tcW w:w="10980" w:type="dxa"/>
            <w:gridSpan w:val="5"/>
            <w:tcBorders>
              <w:top w:val="dotted" w:sz="4" w:space="0" w:color="auto"/>
              <w:left w:val="single" w:sz="4" w:space="0" w:color="auto"/>
              <w:bottom w:val="single" w:sz="4" w:space="0" w:color="auto"/>
              <w:right w:val="dotted" w:sz="4" w:space="0" w:color="auto"/>
            </w:tcBorders>
          </w:tcPr>
          <w:p w:rsidR="00B63439" w:rsidRPr="00B30971" w:rsidRDefault="00B63439" w:rsidP="00B63439">
            <w:pPr>
              <w:rPr>
                <w:sz w:val="24"/>
                <w:szCs w:val="24"/>
              </w:rPr>
            </w:pPr>
            <w:r w:rsidRPr="00B30971">
              <w:rPr>
                <w:b/>
                <w:sz w:val="24"/>
                <w:szCs w:val="24"/>
              </w:rPr>
              <w:t>Timeline:</w:t>
            </w:r>
            <w:r w:rsidRPr="00B30971">
              <w:rPr>
                <w:sz w:val="24"/>
                <w:szCs w:val="24"/>
              </w:rPr>
              <w:t xml:space="preserve"> </w:t>
            </w:r>
            <w:r w:rsidR="00BA1E88">
              <w:rPr>
                <w:sz w:val="24"/>
                <w:szCs w:val="24"/>
              </w:rPr>
              <w:tab/>
            </w:r>
            <w:r w:rsidR="00BA1E88" w:rsidRPr="00BA1E88">
              <w:rPr>
                <w:b/>
                <w:sz w:val="24"/>
                <w:szCs w:val="24"/>
              </w:rPr>
              <w:t>Spring 2014:</w:t>
            </w:r>
            <w:r w:rsidR="00BA1E88">
              <w:rPr>
                <w:sz w:val="24"/>
                <w:szCs w:val="24"/>
              </w:rPr>
              <w:t xml:space="preserve">  Complete the above tasks during Spring 2014.   </w:t>
            </w:r>
          </w:p>
          <w:p w:rsidR="00B63439" w:rsidRPr="00B30971" w:rsidRDefault="00B63439" w:rsidP="00B63439">
            <w:pPr>
              <w:rPr>
                <w:sz w:val="24"/>
                <w:szCs w:val="24"/>
              </w:rPr>
            </w:pPr>
          </w:p>
        </w:tc>
        <w:tc>
          <w:tcPr>
            <w:tcW w:w="1980" w:type="dxa"/>
            <w:vMerge/>
            <w:tcBorders>
              <w:left w:val="dotted" w:sz="4" w:space="0" w:color="auto"/>
              <w:bottom w:val="single" w:sz="4" w:space="0" w:color="auto"/>
              <w:right w:val="single" w:sz="4" w:space="0" w:color="auto"/>
            </w:tcBorders>
          </w:tcPr>
          <w:p w:rsidR="00B63439" w:rsidRPr="00B30971" w:rsidRDefault="00B63439" w:rsidP="00B63439">
            <w:pPr>
              <w:rPr>
                <w:sz w:val="24"/>
                <w:szCs w:val="24"/>
              </w:rPr>
            </w:pPr>
          </w:p>
        </w:tc>
      </w:tr>
      <w:tr w:rsidR="00B63439" w:rsidTr="00B63439">
        <w:trPr>
          <w:trHeight w:val="517"/>
        </w:trPr>
        <w:tc>
          <w:tcPr>
            <w:tcW w:w="1980" w:type="dxa"/>
            <w:gridSpan w:val="2"/>
            <w:tcBorders>
              <w:left w:val="single" w:sz="4" w:space="0" w:color="auto"/>
              <w:bottom w:val="single" w:sz="4" w:space="0" w:color="auto"/>
              <w:right w:val="single" w:sz="4" w:space="0" w:color="auto"/>
            </w:tcBorders>
            <w:vAlign w:val="center"/>
          </w:tcPr>
          <w:p w:rsidR="00B63439" w:rsidRPr="00455861" w:rsidRDefault="00B63439" w:rsidP="00B63439">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B63439" w:rsidRPr="00455861" w:rsidRDefault="00B63439" w:rsidP="00B63439">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B63439" w:rsidRPr="00455861" w:rsidRDefault="00B63439" w:rsidP="00B63439">
            <w:pPr>
              <w:jc w:val="center"/>
              <w:rPr>
                <w:b/>
                <w:sz w:val="24"/>
                <w:szCs w:val="24"/>
              </w:rPr>
            </w:pPr>
            <w:r w:rsidRPr="00455861">
              <w:rPr>
                <w:b/>
                <w:sz w:val="24"/>
                <w:szCs w:val="24"/>
              </w:rPr>
              <w:t>RESOURCE PLAN</w:t>
            </w:r>
          </w:p>
          <w:p w:rsidR="00B63439" w:rsidRPr="00455861" w:rsidRDefault="00B63439" w:rsidP="00B63439">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B63439" w:rsidRPr="00455861" w:rsidRDefault="00B63439" w:rsidP="00B63439">
            <w:pPr>
              <w:jc w:val="center"/>
              <w:rPr>
                <w:b/>
                <w:sz w:val="24"/>
                <w:szCs w:val="24"/>
              </w:rPr>
            </w:pPr>
            <w:r w:rsidRPr="00455861">
              <w:rPr>
                <w:b/>
                <w:sz w:val="24"/>
                <w:szCs w:val="24"/>
              </w:rPr>
              <w:t>BUDGET REQUEST</w:t>
            </w:r>
          </w:p>
        </w:tc>
      </w:tr>
      <w:tr w:rsidR="00B63439" w:rsidTr="00B63439">
        <w:trPr>
          <w:trHeight w:val="517"/>
        </w:trPr>
        <w:tc>
          <w:tcPr>
            <w:tcW w:w="1980" w:type="dxa"/>
            <w:gridSpan w:val="2"/>
            <w:tcBorders>
              <w:left w:val="single" w:sz="4" w:space="0" w:color="auto"/>
              <w:bottom w:val="single" w:sz="4" w:space="0" w:color="auto"/>
              <w:right w:val="single" w:sz="4" w:space="0" w:color="auto"/>
            </w:tcBorders>
          </w:tcPr>
          <w:p w:rsidR="00B63439" w:rsidRDefault="00B63439" w:rsidP="00B63439">
            <w:pPr>
              <w:rPr>
                <w:sz w:val="24"/>
                <w:szCs w:val="24"/>
              </w:rPr>
            </w:pPr>
          </w:p>
          <w:p w:rsidR="00B63439" w:rsidRDefault="00B63439" w:rsidP="00B63439">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B63439" w:rsidRPr="005707F9" w:rsidRDefault="00B63439" w:rsidP="00B63439">
            <w:pPr>
              <w:rPr>
                <w:sz w:val="24"/>
                <w:szCs w:val="24"/>
              </w:rPr>
            </w:pPr>
          </w:p>
          <w:p w:rsidR="00B63439" w:rsidRPr="005707F9" w:rsidRDefault="00B63439" w:rsidP="00B63439">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B63439" w:rsidRDefault="00B63439" w:rsidP="00B63439">
            <w:pPr>
              <w:rPr>
                <w:sz w:val="24"/>
                <w:szCs w:val="24"/>
              </w:rPr>
            </w:pPr>
          </w:p>
          <w:p w:rsidR="00B63439" w:rsidRDefault="00B63439" w:rsidP="00B6343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B63439" w:rsidRPr="005707F9" w:rsidRDefault="00B63439" w:rsidP="00B6343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B63439" w:rsidRPr="005707F9" w:rsidRDefault="00B63439" w:rsidP="00B63439">
            <w:pPr>
              <w:rPr>
                <w:sz w:val="24"/>
                <w:szCs w:val="24"/>
              </w:rPr>
            </w:pPr>
          </w:p>
          <w:p w:rsidR="00B63439" w:rsidRPr="005707F9" w:rsidRDefault="00B63439" w:rsidP="00B63439">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B63439" w:rsidRPr="005707F9" w:rsidRDefault="00B9246E" w:rsidP="00B6343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63439">
              <w:rPr>
                <w:sz w:val="24"/>
                <w:szCs w:val="24"/>
              </w:rPr>
              <w:t xml:space="preserve"> F</w:t>
            </w:r>
            <w:r w:rsidR="00B63439" w:rsidRPr="005707F9">
              <w:rPr>
                <w:sz w:val="24"/>
                <w:szCs w:val="24"/>
              </w:rPr>
              <w:t>acilities</w:t>
            </w:r>
          </w:p>
          <w:p w:rsidR="00B63439" w:rsidRPr="005707F9" w:rsidRDefault="00B63439" w:rsidP="00B6343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B63439" w:rsidRDefault="00B9246E" w:rsidP="00B6343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63439">
              <w:rPr>
                <w:sz w:val="24"/>
                <w:szCs w:val="24"/>
              </w:rPr>
              <w:t xml:space="preserve"> Technology</w:t>
            </w:r>
          </w:p>
          <w:p w:rsidR="00B63439" w:rsidRDefault="00B9246E" w:rsidP="00B6343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63439">
              <w:rPr>
                <w:sz w:val="24"/>
                <w:szCs w:val="24"/>
              </w:rPr>
              <w:t xml:space="preserve"> Professional Development</w:t>
            </w:r>
          </w:p>
          <w:p w:rsidR="00B63439" w:rsidRPr="005707F9" w:rsidRDefault="00B63439" w:rsidP="00B6343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B63439" w:rsidRPr="005707F9" w:rsidRDefault="00B63439" w:rsidP="00B9246E">
            <w:pPr>
              <w:jc w:val="right"/>
              <w:rPr>
                <w:sz w:val="24"/>
                <w:szCs w:val="24"/>
              </w:rPr>
            </w:pPr>
            <w:r w:rsidRPr="005707F9">
              <w:rPr>
                <w:sz w:val="24"/>
                <w:szCs w:val="24"/>
              </w:rPr>
              <w:t>$</w:t>
            </w:r>
            <w:r w:rsidR="00B9246E">
              <w:rPr>
                <w:sz w:val="24"/>
                <w:szCs w:val="24"/>
                <w:u w:val="single"/>
              </w:rPr>
              <w:t xml:space="preserve">  0*  </w:t>
            </w:r>
          </w:p>
        </w:tc>
      </w:tr>
    </w:tbl>
    <w:p w:rsidR="00B63439" w:rsidRDefault="00B63439" w:rsidP="0013472B">
      <w:pPr>
        <w:spacing w:after="0" w:line="240" w:lineRule="auto"/>
        <w:rPr>
          <w:b/>
          <w:sz w:val="40"/>
          <w:szCs w:val="40"/>
        </w:rPr>
      </w:pPr>
    </w:p>
    <w:p w:rsidR="00BA1E88" w:rsidRDefault="00BA1E88" w:rsidP="00BA1E88">
      <w:pPr>
        <w:spacing w:after="0" w:line="240" w:lineRule="auto"/>
        <w:ind w:left="360" w:firstLine="720"/>
        <w:rPr>
          <w:sz w:val="24"/>
          <w:szCs w:val="24"/>
        </w:rPr>
      </w:pPr>
      <w:r>
        <w:rPr>
          <w:sz w:val="24"/>
          <w:szCs w:val="24"/>
        </w:rPr>
        <w:t xml:space="preserve">*NOTE:   No funding is required to accomplish this goal.    </w:t>
      </w:r>
      <w:r>
        <w:rPr>
          <w:sz w:val="24"/>
          <w:szCs w:val="24"/>
        </w:rPr>
        <w:br w:type="page"/>
      </w:r>
    </w:p>
    <w:p w:rsidR="00BA1E88" w:rsidRDefault="00BA1E88" w:rsidP="0013472B">
      <w:pPr>
        <w:spacing w:after="0" w:line="240" w:lineRule="auto"/>
        <w:rPr>
          <w:b/>
          <w:sz w:val="40"/>
          <w:szCs w:val="40"/>
        </w:rPr>
      </w:pPr>
    </w:p>
    <w:tbl>
      <w:tblPr>
        <w:tblStyle w:val="TableGrid"/>
        <w:tblW w:w="0" w:type="auto"/>
        <w:tblInd w:w="828" w:type="dxa"/>
        <w:tblLayout w:type="fixed"/>
        <w:tblLook w:val="04A0" w:firstRow="1" w:lastRow="0" w:firstColumn="1" w:lastColumn="0" w:noHBand="0" w:noVBand="1"/>
      </w:tblPr>
      <w:tblGrid>
        <w:gridCol w:w="10980"/>
        <w:gridCol w:w="1980"/>
      </w:tblGrid>
      <w:tr w:rsidR="00BA1E88" w:rsidTr="000E245C">
        <w:tc>
          <w:tcPr>
            <w:tcW w:w="10980" w:type="dxa"/>
            <w:tcBorders>
              <w:top w:val="single" w:sz="4" w:space="0" w:color="auto"/>
              <w:left w:val="single" w:sz="4" w:space="0" w:color="auto"/>
              <w:bottom w:val="single" w:sz="4" w:space="0" w:color="auto"/>
              <w:right w:val="single" w:sz="4" w:space="0" w:color="auto"/>
            </w:tcBorders>
          </w:tcPr>
          <w:p w:rsidR="00BA1E88" w:rsidRPr="00455861" w:rsidRDefault="00BA1E88" w:rsidP="000E245C">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BA1E88" w:rsidRPr="00455861" w:rsidRDefault="00BA1E88" w:rsidP="00B9246E">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B9246E">
              <w:rPr>
                <w:sz w:val="32"/>
                <w:szCs w:val="32"/>
                <w:u w:val="single"/>
              </w:rPr>
              <w:t xml:space="preserve">  94,000</w:t>
            </w:r>
          </w:p>
        </w:tc>
      </w:tr>
    </w:tbl>
    <w:p w:rsidR="00BA1E88" w:rsidRDefault="00BA1E88" w:rsidP="00BA1E88">
      <w:pPr>
        <w:spacing w:after="0" w:line="240" w:lineRule="auto"/>
        <w:rPr>
          <w:b/>
          <w:sz w:val="40"/>
          <w:szCs w:val="40"/>
        </w:rPr>
      </w:pPr>
    </w:p>
    <w:p w:rsidR="00BA1E88" w:rsidRDefault="00BA1E88" w:rsidP="00BA1E88">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Pr="00110022">
        <w:rPr>
          <w:sz w:val="24"/>
          <w:szCs w:val="24"/>
        </w:rPr>
        <w:t>?</w:t>
      </w:r>
      <w:r>
        <w:rPr>
          <w:sz w:val="24"/>
          <w:szCs w:val="24"/>
        </w:rPr>
        <w:t xml:space="preserve"> </w:t>
      </w:r>
    </w:p>
    <w:p w:rsidR="00BA1E88" w:rsidRPr="00D26602" w:rsidRDefault="00BA1E88" w:rsidP="00BA1E88">
      <w:pPr>
        <w:pStyle w:val="ListParagraph"/>
        <w:spacing w:after="0" w:line="240" w:lineRule="auto"/>
        <w:ind w:left="1080" w:firstLine="360"/>
        <w:rPr>
          <w:sz w:val="16"/>
          <w:szCs w:val="16"/>
        </w:rPr>
      </w:pPr>
    </w:p>
    <w:p w:rsidR="00BA1E88" w:rsidRDefault="00B1368D" w:rsidP="00BA1E88">
      <w:pPr>
        <w:pStyle w:val="ListParagraph"/>
        <w:spacing w:after="0" w:line="240" w:lineRule="auto"/>
        <w:ind w:left="1080" w:firstLine="360"/>
        <w:rPr>
          <w:sz w:val="24"/>
          <w:szCs w:val="24"/>
        </w:rPr>
      </w:pPr>
      <w:r>
        <w:rPr>
          <w:sz w:val="24"/>
          <w:szCs w:val="24"/>
        </w:rPr>
        <w:t>The budget request will</w:t>
      </w:r>
      <w:r w:rsidR="00D26602">
        <w:rPr>
          <w:sz w:val="24"/>
          <w:szCs w:val="24"/>
        </w:rPr>
        <w:t xml:space="preserve"> provide the staffing and training ne</w:t>
      </w:r>
      <w:r>
        <w:rPr>
          <w:sz w:val="24"/>
          <w:szCs w:val="24"/>
        </w:rPr>
        <w:t>cessary</w:t>
      </w:r>
      <w:r w:rsidR="00D26602">
        <w:rPr>
          <w:sz w:val="24"/>
          <w:szCs w:val="24"/>
        </w:rPr>
        <w:t xml:space="preserve"> to support the planning and implementation and continuous improvement of Distance Education at IVC.  A full-time Distance Education Coordinator, with ongoing professional development and training, will be able to stay current with the ever-changing landscape of Distance Education.  </w:t>
      </w:r>
      <w:r>
        <w:rPr>
          <w:sz w:val="24"/>
          <w:szCs w:val="24"/>
        </w:rPr>
        <w:t>With a well-trained fulltime DE Coordinator, the Distance Education program at IVC can become more responsive to the ever-changing and evolving landscape that encompasses the field of education, thus providing essential services and programming for the improvement of student access and success</w:t>
      </w:r>
      <w:r w:rsidR="0053209C">
        <w:rPr>
          <w:sz w:val="24"/>
          <w:szCs w:val="24"/>
        </w:rPr>
        <w:t xml:space="preserve"> at IVC</w:t>
      </w:r>
      <w:r>
        <w:rPr>
          <w:sz w:val="24"/>
          <w:szCs w:val="24"/>
        </w:rPr>
        <w:t xml:space="preserve">.   </w:t>
      </w:r>
      <w:r w:rsidR="00D26602">
        <w:rPr>
          <w:sz w:val="24"/>
          <w:szCs w:val="24"/>
        </w:rPr>
        <w:t xml:space="preserve">   </w:t>
      </w:r>
    </w:p>
    <w:p w:rsidR="00BA1E88" w:rsidRDefault="00BA1E88" w:rsidP="00BA1E88">
      <w:pPr>
        <w:spacing w:after="0" w:line="240" w:lineRule="auto"/>
        <w:rPr>
          <w:b/>
          <w:sz w:val="40"/>
          <w:szCs w:val="40"/>
        </w:rPr>
      </w:pPr>
    </w:p>
    <w:p w:rsidR="00BA1E88" w:rsidRDefault="00BA1E88" w:rsidP="00BA1E88">
      <w:pPr>
        <w:spacing w:after="0" w:line="240" w:lineRule="auto"/>
        <w:rPr>
          <w:b/>
          <w:sz w:val="40"/>
          <w:szCs w:val="40"/>
        </w:rPr>
      </w:pPr>
    </w:p>
    <w:p w:rsidR="00B1368D" w:rsidRDefault="00B1368D" w:rsidP="00BA1E88">
      <w:pPr>
        <w:spacing w:after="0" w:line="240" w:lineRule="auto"/>
        <w:rPr>
          <w:b/>
          <w:sz w:val="40"/>
          <w:szCs w:val="40"/>
        </w:rPr>
      </w:pPr>
    </w:p>
    <w:p w:rsidR="00BA1E88" w:rsidRDefault="00BA1E88" w:rsidP="0013472B">
      <w:pPr>
        <w:spacing w:after="0" w:line="240" w:lineRule="auto"/>
        <w:rPr>
          <w:b/>
          <w:sz w:val="40"/>
          <w:szCs w:val="40"/>
        </w:rPr>
      </w:pPr>
    </w:p>
    <w:p w:rsidR="007D1955" w:rsidRDefault="0013472B" w:rsidP="0013472B">
      <w:pPr>
        <w:spacing w:after="0" w:line="240" w:lineRule="auto"/>
        <w:rPr>
          <w:b/>
          <w:sz w:val="40"/>
          <w:szCs w:val="40"/>
        </w:rPr>
      </w:pPr>
      <w:r w:rsidRPr="000403F6">
        <w:rPr>
          <w:b/>
          <w:sz w:val="40"/>
          <w:szCs w:val="40"/>
        </w:rPr>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Default="0013472B" w:rsidP="00C61A1E">
      <w:pPr>
        <w:rPr>
          <w:b/>
          <w:sz w:val="40"/>
          <w:szCs w:val="40"/>
        </w:rPr>
      </w:pPr>
      <w:r>
        <w:rPr>
          <w:b/>
          <w:sz w:val="40"/>
          <w:szCs w:val="40"/>
        </w:rPr>
        <w:lastRenderedPageBreak/>
        <w:t>IV</w:t>
      </w:r>
      <w:r w:rsidRPr="000403F6">
        <w:rPr>
          <w:b/>
          <w:sz w:val="40"/>
          <w:szCs w:val="40"/>
        </w:rPr>
        <w:t xml:space="preserve">. PROGRAM </w:t>
      </w:r>
      <w:r>
        <w:rPr>
          <w:b/>
          <w:sz w:val="40"/>
          <w:szCs w:val="40"/>
        </w:rPr>
        <w:t>LEARNING OUTCOMES (PLOs)</w:t>
      </w:r>
    </w:p>
    <w:p w:rsidR="00B1368D" w:rsidRDefault="00B1368D" w:rsidP="00C61A1E">
      <w:pPr>
        <w:rPr>
          <w:b/>
          <w:sz w:val="40"/>
          <w:szCs w:val="40"/>
        </w:rPr>
      </w:pPr>
    </w:p>
    <w:p w:rsidR="00B1368D" w:rsidRPr="00B1368D" w:rsidRDefault="00B1368D" w:rsidP="00B1368D">
      <w:pPr>
        <w:ind w:left="630" w:right="720"/>
        <w:rPr>
          <w:sz w:val="32"/>
          <w:szCs w:val="32"/>
        </w:rPr>
      </w:pPr>
      <w:r w:rsidRPr="00B1368D">
        <w:rPr>
          <w:b/>
          <w:color w:val="C00000"/>
          <w:sz w:val="32"/>
          <w:szCs w:val="32"/>
        </w:rPr>
        <w:t xml:space="preserve">NOTE:  </w:t>
      </w:r>
      <w:r w:rsidRPr="00B1368D">
        <w:rPr>
          <w:i/>
          <w:sz w:val="32"/>
          <w:szCs w:val="32"/>
        </w:rPr>
        <w:t xml:space="preserve">The Distance Education Program at IVC supports the PLOs and SLOs of </w:t>
      </w:r>
      <w:r>
        <w:rPr>
          <w:i/>
          <w:sz w:val="32"/>
          <w:szCs w:val="32"/>
        </w:rPr>
        <w:t xml:space="preserve">all </w:t>
      </w:r>
      <w:r w:rsidRPr="00B1368D">
        <w:rPr>
          <w:i/>
          <w:sz w:val="32"/>
          <w:szCs w:val="32"/>
        </w:rPr>
        <w:t>academic programs.  The DE Program does not have</w:t>
      </w:r>
      <w:r>
        <w:rPr>
          <w:i/>
          <w:sz w:val="32"/>
          <w:szCs w:val="32"/>
        </w:rPr>
        <w:t xml:space="preserve"> independent</w:t>
      </w:r>
      <w:r w:rsidRPr="00B1368D">
        <w:rPr>
          <w:i/>
          <w:sz w:val="32"/>
          <w:szCs w:val="32"/>
        </w:rPr>
        <w:t xml:space="preserve"> PLOs or SLOs.  Therefore, this section is N/A for the DE program.</w:t>
      </w:r>
      <w:r w:rsidRPr="00B1368D">
        <w:rPr>
          <w:sz w:val="32"/>
          <w:szCs w:val="32"/>
        </w:rPr>
        <w:t xml:space="preserve">  </w:t>
      </w:r>
    </w:p>
    <w:p w:rsidR="00B1368D" w:rsidRPr="00AE5C40" w:rsidRDefault="00B1368D" w:rsidP="00C61A1E">
      <w:pPr>
        <w:rPr>
          <w:sz w:val="24"/>
          <w:szCs w:val="24"/>
        </w:rPr>
      </w:pP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5E6467">
            <w:pPr>
              <w:rPr>
                <w:sz w:val="24"/>
                <w:szCs w:val="24"/>
              </w:rPr>
            </w:pPr>
            <w:r w:rsidRPr="00C15830">
              <w:rPr>
                <w:b/>
                <w:sz w:val="24"/>
                <w:szCs w:val="24"/>
              </w:rPr>
              <w:t xml:space="preserve">Identify Program Outcome: </w:t>
            </w:r>
            <w:r w:rsidR="00B1368D">
              <w:rPr>
                <w:sz w:val="24"/>
                <w:szCs w:val="24"/>
              </w:rPr>
              <w:t xml:space="preserve">  N/A</w:t>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1</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2</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3</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4</w:t>
            </w:r>
          </w:p>
          <w:p w:rsidR="004A2B92" w:rsidRPr="00B30971" w:rsidRDefault="004A2B92"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p w:rsidR="00B1368D" w:rsidRDefault="00B1368D"/>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B1368D">
              <w:rPr>
                <w:sz w:val="24"/>
                <w:szCs w:val="24"/>
              </w:rPr>
              <w:t xml:space="preserve">  N/A</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Default="004A2B92" w:rsidP="004A2B92">
            <w:pPr>
              <w:rPr>
                <w:b/>
                <w:sz w:val="24"/>
                <w:szCs w:val="24"/>
              </w:rPr>
            </w:pPr>
          </w:p>
          <w:p w:rsidR="00B1368D" w:rsidRPr="005B59C1" w:rsidRDefault="00B1368D"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B1368D">
              <w:rPr>
                <w:sz w:val="24"/>
                <w:szCs w:val="24"/>
              </w:rPr>
              <w:t xml:space="preserve">   N/A</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Default="005B59C1" w:rsidP="006D1FC2">
            <w:pPr>
              <w:rPr>
                <w:b/>
                <w:sz w:val="24"/>
                <w:szCs w:val="24"/>
              </w:rPr>
            </w:pPr>
          </w:p>
          <w:p w:rsidR="00B1368D" w:rsidRPr="005B59C1" w:rsidRDefault="00B1368D"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sectPr w:rsidR="0013472B" w:rsidSect="00AD4987">
      <w:footerReference w:type="default" r:id="rId14"/>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45C" w:rsidRDefault="000E245C" w:rsidP="00C269D2">
      <w:pPr>
        <w:spacing w:after="0" w:line="240" w:lineRule="auto"/>
      </w:pPr>
      <w:r>
        <w:separator/>
      </w:r>
    </w:p>
  </w:endnote>
  <w:endnote w:type="continuationSeparator" w:id="0">
    <w:p w:rsidR="000E245C" w:rsidRDefault="000E245C"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45C" w:rsidRDefault="000E245C">
    <w:pPr>
      <w:pStyle w:val="Footer"/>
      <w:rPr>
        <w:color w:val="000000" w:themeColor="text1"/>
        <w:sz w:val="24"/>
        <w:szCs w:val="24"/>
      </w:rPr>
    </w:pPr>
    <w:r>
      <w:rPr>
        <w:color w:val="000000" w:themeColor="text1"/>
        <w:sz w:val="24"/>
        <w:szCs w:val="24"/>
      </w:rPr>
      <w:t>Academic Program Review</w:t>
    </w:r>
  </w:p>
  <w:p w:rsidR="000E245C" w:rsidRPr="002D5944" w:rsidRDefault="000E245C">
    <w:pPr>
      <w:pStyle w:val="Footer"/>
      <w:rPr>
        <w:color w:val="000000" w:themeColor="text1"/>
        <w:sz w:val="18"/>
        <w:szCs w:val="24"/>
      </w:rPr>
    </w:pPr>
    <w:r>
      <w:rPr>
        <w:color w:val="000000" w:themeColor="text1"/>
        <w:sz w:val="18"/>
        <w:szCs w:val="24"/>
      </w:rPr>
      <w:t>01/09/14</w:t>
    </w:r>
  </w:p>
  <w:p w:rsidR="000E245C" w:rsidRDefault="000E245C">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0E245C" w:rsidRDefault="000E245C">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7763AA">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0E245C" w:rsidRDefault="000E245C">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7763AA">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45C" w:rsidRDefault="000E245C" w:rsidP="00C269D2">
      <w:pPr>
        <w:spacing w:after="0" w:line="240" w:lineRule="auto"/>
      </w:pPr>
      <w:r>
        <w:separator/>
      </w:r>
    </w:p>
  </w:footnote>
  <w:footnote w:type="continuationSeparator" w:id="0">
    <w:p w:rsidR="000E245C" w:rsidRDefault="000E245C"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AD4071"/>
    <w:multiLevelType w:val="hybridMultilevel"/>
    <w:tmpl w:val="DC0A23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D30458"/>
    <w:multiLevelType w:val="hybridMultilevel"/>
    <w:tmpl w:val="CB24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5"/>
  </w:num>
  <w:num w:numId="5">
    <w:abstractNumId w:val="12"/>
  </w:num>
  <w:num w:numId="6">
    <w:abstractNumId w:val="10"/>
  </w:num>
  <w:num w:numId="7">
    <w:abstractNumId w:val="3"/>
  </w:num>
  <w:num w:numId="8">
    <w:abstractNumId w:val="11"/>
  </w:num>
  <w:num w:numId="9">
    <w:abstractNumId w:val="8"/>
  </w:num>
  <w:num w:numId="10">
    <w:abstractNumId w:val="0"/>
  </w:num>
  <w:num w:numId="11">
    <w:abstractNumId w:val="6"/>
  </w:num>
  <w:num w:numId="12">
    <w:abstractNumId w:val="7"/>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81A8E"/>
    <w:rsid w:val="00085642"/>
    <w:rsid w:val="000A2181"/>
    <w:rsid w:val="000A56FF"/>
    <w:rsid w:val="000C1BF3"/>
    <w:rsid w:val="000C3BC9"/>
    <w:rsid w:val="000D01C8"/>
    <w:rsid w:val="000E245C"/>
    <w:rsid w:val="000F3AF6"/>
    <w:rsid w:val="00110022"/>
    <w:rsid w:val="0013472B"/>
    <w:rsid w:val="00161A08"/>
    <w:rsid w:val="001824BF"/>
    <w:rsid w:val="001A2389"/>
    <w:rsid w:val="001B0E63"/>
    <w:rsid w:val="001B3E09"/>
    <w:rsid w:val="001C0FA5"/>
    <w:rsid w:val="001C31AE"/>
    <w:rsid w:val="001C394F"/>
    <w:rsid w:val="001C4679"/>
    <w:rsid w:val="00211B80"/>
    <w:rsid w:val="00223F78"/>
    <w:rsid w:val="0023193A"/>
    <w:rsid w:val="002423D1"/>
    <w:rsid w:val="002521F9"/>
    <w:rsid w:val="00254476"/>
    <w:rsid w:val="00257C76"/>
    <w:rsid w:val="00266594"/>
    <w:rsid w:val="00271A0B"/>
    <w:rsid w:val="0028431E"/>
    <w:rsid w:val="002A2D46"/>
    <w:rsid w:val="002D5944"/>
    <w:rsid w:val="002D763C"/>
    <w:rsid w:val="002E782E"/>
    <w:rsid w:val="002F5CCA"/>
    <w:rsid w:val="003204B1"/>
    <w:rsid w:val="00323618"/>
    <w:rsid w:val="003543CC"/>
    <w:rsid w:val="003648E7"/>
    <w:rsid w:val="00391312"/>
    <w:rsid w:val="0039232D"/>
    <w:rsid w:val="003A0610"/>
    <w:rsid w:val="003B17D4"/>
    <w:rsid w:val="003D3C8C"/>
    <w:rsid w:val="003D4F5C"/>
    <w:rsid w:val="003F7DA7"/>
    <w:rsid w:val="004111B8"/>
    <w:rsid w:val="00450210"/>
    <w:rsid w:val="004519FF"/>
    <w:rsid w:val="00455861"/>
    <w:rsid w:val="004578EE"/>
    <w:rsid w:val="004A2B92"/>
    <w:rsid w:val="004B7383"/>
    <w:rsid w:val="004C4E7F"/>
    <w:rsid w:val="004D4D45"/>
    <w:rsid w:val="004F1EA0"/>
    <w:rsid w:val="00521341"/>
    <w:rsid w:val="00522D0A"/>
    <w:rsid w:val="0053209C"/>
    <w:rsid w:val="00541352"/>
    <w:rsid w:val="00555678"/>
    <w:rsid w:val="00556AD5"/>
    <w:rsid w:val="005707F9"/>
    <w:rsid w:val="0057128D"/>
    <w:rsid w:val="00583E49"/>
    <w:rsid w:val="00590572"/>
    <w:rsid w:val="00594CC6"/>
    <w:rsid w:val="00597F48"/>
    <w:rsid w:val="005A6C4B"/>
    <w:rsid w:val="005B59C1"/>
    <w:rsid w:val="005B72F8"/>
    <w:rsid w:val="005C3A5A"/>
    <w:rsid w:val="005E6467"/>
    <w:rsid w:val="005F09EA"/>
    <w:rsid w:val="00603C62"/>
    <w:rsid w:val="00621634"/>
    <w:rsid w:val="00641F0C"/>
    <w:rsid w:val="006454E3"/>
    <w:rsid w:val="00663719"/>
    <w:rsid w:val="00670782"/>
    <w:rsid w:val="006854CC"/>
    <w:rsid w:val="00691A49"/>
    <w:rsid w:val="006B712B"/>
    <w:rsid w:val="006C664D"/>
    <w:rsid w:val="006C7590"/>
    <w:rsid w:val="006D1FC2"/>
    <w:rsid w:val="006D2FCF"/>
    <w:rsid w:val="006D4F29"/>
    <w:rsid w:val="006F403E"/>
    <w:rsid w:val="00700A8A"/>
    <w:rsid w:val="0071593B"/>
    <w:rsid w:val="007250CF"/>
    <w:rsid w:val="0072536D"/>
    <w:rsid w:val="00725D31"/>
    <w:rsid w:val="00731606"/>
    <w:rsid w:val="007440FF"/>
    <w:rsid w:val="007653BF"/>
    <w:rsid w:val="007763AA"/>
    <w:rsid w:val="0079256B"/>
    <w:rsid w:val="007B466A"/>
    <w:rsid w:val="007B6E52"/>
    <w:rsid w:val="007D1955"/>
    <w:rsid w:val="007E03C5"/>
    <w:rsid w:val="007E4294"/>
    <w:rsid w:val="007F00B5"/>
    <w:rsid w:val="007F1BF9"/>
    <w:rsid w:val="00827180"/>
    <w:rsid w:val="00832A42"/>
    <w:rsid w:val="00845E03"/>
    <w:rsid w:val="00845F64"/>
    <w:rsid w:val="0085021D"/>
    <w:rsid w:val="00875F92"/>
    <w:rsid w:val="00885966"/>
    <w:rsid w:val="008A48AC"/>
    <w:rsid w:val="008E6322"/>
    <w:rsid w:val="008F1519"/>
    <w:rsid w:val="008F6DD3"/>
    <w:rsid w:val="00905C9F"/>
    <w:rsid w:val="0094250C"/>
    <w:rsid w:val="00944407"/>
    <w:rsid w:val="00946D62"/>
    <w:rsid w:val="00966CFD"/>
    <w:rsid w:val="0097680B"/>
    <w:rsid w:val="00987B31"/>
    <w:rsid w:val="009968E8"/>
    <w:rsid w:val="009A1ADE"/>
    <w:rsid w:val="009D3A48"/>
    <w:rsid w:val="009E5AE3"/>
    <w:rsid w:val="009F08F0"/>
    <w:rsid w:val="00A2467D"/>
    <w:rsid w:val="00A257C2"/>
    <w:rsid w:val="00A95A5F"/>
    <w:rsid w:val="00AA2BE3"/>
    <w:rsid w:val="00AD4987"/>
    <w:rsid w:val="00AE0185"/>
    <w:rsid w:val="00AE599F"/>
    <w:rsid w:val="00AE5C40"/>
    <w:rsid w:val="00B05E52"/>
    <w:rsid w:val="00B1368D"/>
    <w:rsid w:val="00B221A1"/>
    <w:rsid w:val="00B23CFE"/>
    <w:rsid w:val="00B25FA2"/>
    <w:rsid w:val="00B30971"/>
    <w:rsid w:val="00B33668"/>
    <w:rsid w:val="00B63439"/>
    <w:rsid w:val="00B7127A"/>
    <w:rsid w:val="00B7252F"/>
    <w:rsid w:val="00B91965"/>
    <w:rsid w:val="00B9246E"/>
    <w:rsid w:val="00BA1E88"/>
    <w:rsid w:val="00BA22FE"/>
    <w:rsid w:val="00BA2412"/>
    <w:rsid w:val="00BA2EC9"/>
    <w:rsid w:val="00BD2BA5"/>
    <w:rsid w:val="00BD5E72"/>
    <w:rsid w:val="00BF037A"/>
    <w:rsid w:val="00BF5135"/>
    <w:rsid w:val="00C059EE"/>
    <w:rsid w:val="00C0717C"/>
    <w:rsid w:val="00C15830"/>
    <w:rsid w:val="00C269D2"/>
    <w:rsid w:val="00C318F4"/>
    <w:rsid w:val="00C32B0F"/>
    <w:rsid w:val="00C521EC"/>
    <w:rsid w:val="00C61A1E"/>
    <w:rsid w:val="00C9513F"/>
    <w:rsid w:val="00CC5AEE"/>
    <w:rsid w:val="00CD76AB"/>
    <w:rsid w:val="00CE78BF"/>
    <w:rsid w:val="00CF1504"/>
    <w:rsid w:val="00D001FF"/>
    <w:rsid w:val="00D13C67"/>
    <w:rsid w:val="00D140DE"/>
    <w:rsid w:val="00D215F1"/>
    <w:rsid w:val="00D26602"/>
    <w:rsid w:val="00D46DD5"/>
    <w:rsid w:val="00D6026F"/>
    <w:rsid w:val="00D67F65"/>
    <w:rsid w:val="00D7054E"/>
    <w:rsid w:val="00D84502"/>
    <w:rsid w:val="00D847BE"/>
    <w:rsid w:val="00D9584C"/>
    <w:rsid w:val="00D976AD"/>
    <w:rsid w:val="00DD6F85"/>
    <w:rsid w:val="00DF20FA"/>
    <w:rsid w:val="00E364FB"/>
    <w:rsid w:val="00E63051"/>
    <w:rsid w:val="00E87BA0"/>
    <w:rsid w:val="00EF1EC8"/>
    <w:rsid w:val="00EF309E"/>
    <w:rsid w:val="00EF4BD8"/>
    <w:rsid w:val="00F072A5"/>
    <w:rsid w:val="00F174C8"/>
    <w:rsid w:val="00F60651"/>
    <w:rsid w:val="00F84054"/>
    <w:rsid w:val="00FB2B8C"/>
    <w:rsid w:val="00FB7280"/>
    <w:rsid w:val="00FC2EBE"/>
    <w:rsid w:val="00FD4E6D"/>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IT903S-MYDOCS\My%20Docs\gaylla.finnell\My%20Documents\Distance%20Education\Program%20Review\2014%20Program%20Review_%20Success%20&amp;%20Retention%20by%20Day%20Evening%20&amp;%20OL_Gaylla-Draf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T903S-MYDOCS\My%20Docs\gaylla.finnell\My%20Documents\Distance%20Education\Program%20Review\2014%20Program%20Review_%20Success%20&amp;%20Retention%20by%20Day%20Evening%20&amp;%20OL_Gaylla-Draf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T903S-MYDOCS\My%20Docs\gaylla.finnell\My%20Documents\Distance%20Education\Program%20Review\2014%20Program%20Review_%20Success%20&amp;%20Retention%20by%20Day%20Evening%20&amp;%20OL_Gaylla-Draf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Enrollment</a:t>
            </a:r>
          </a:p>
        </c:rich>
      </c:tx>
      <c:overlay val="0"/>
    </c:title>
    <c:autoTitleDeleted val="0"/>
    <c:plotArea>
      <c:layout/>
      <c:lineChart>
        <c:grouping val="standard"/>
        <c:varyColors val="0"/>
        <c:ser>
          <c:idx val="0"/>
          <c:order val="0"/>
          <c:tx>
            <c:strRef>
              <c:f>'Success &amp; Retention by Time'!$N$573</c:f>
              <c:strCache>
                <c:ptCount val="1"/>
                <c:pt idx="0">
                  <c:v>Day</c:v>
                </c:pt>
              </c:strCache>
            </c:strRef>
          </c:tx>
          <c:cat>
            <c:strRef>
              <c:f>'Success &amp; Retention by Time'!$M$574:$M$579</c:f>
              <c:strCache>
                <c:ptCount val="6"/>
                <c:pt idx="0">
                  <c:v>Fall 2010</c:v>
                </c:pt>
                <c:pt idx="1">
                  <c:v>Spring 2011</c:v>
                </c:pt>
                <c:pt idx="2">
                  <c:v>Fall 2011</c:v>
                </c:pt>
                <c:pt idx="3">
                  <c:v>Spring 2012</c:v>
                </c:pt>
                <c:pt idx="4">
                  <c:v>Fall 2012</c:v>
                </c:pt>
                <c:pt idx="5">
                  <c:v>Spring 2013</c:v>
                </c:pt>
              </c:strCache>
            </c:strRef>
          </c:cat>
          <c:val>
            <c:numRef>
              <c:f>'Success &amp; Retention by Time'!$N$574:$N$579</c:f>
              <c:numCache>
                <c:formatCode>General</c:formatCode>
                <c:ptCount val="6"/>
                <c:pt idx="0">
                  <c:v>18663</c:v>
                </c:pt>
                <c:pt idx="1">
                  <c:v>17478</c:v>
                </c:pt>
                <c:pt idx="2">
                  <c:v>17242</c:v>
                </c:pt>
                <c:pt idx="3">
                  <c:v>15472</c:v>
                </c:pt>
                <c:pt idx="4">
                  <c:v>18271</c:v>
                </c:pt>
                <c:pt idx="5">
                  <c:v>16788</c:v>
                </c:pt>
              </c:numCache>
            </c:numRef>
          </c:val>
          <c:smooth val="0"/>
        </c:ser>
        <c:ser>
          <c:idx val="1"/>
          <c:order val="1"/>
          <c:tx>
            <c:strRef>
              <c:f>'Success &amp; Retention by Time'!$O$573</c:f>
              <c:strCache>
                <c:ptCount val="1"/>
                <c:pt idx="0">
                  <c:v>Night</c:v>
                </c:pt>
              </c:strCache>
            </c:strRef>
          </c:tx>
          <c:cat>
            <c:strRef>
              <c:f>'Success &amp; Retention by Time'!$M$574:$M$579</c:f>
              <c:strCache>
                <c:ptCount val="6"/>
                <c:pt idx="0">
                  <c:v>Fall 2010</c:v>
                </c:pt>
                <c:pt idx="1">
                  <c:v>Spring 2011</c:v>
                </c:pt>
                <c:pt idx="2">
                  <c:v>Fall 2011</c:v>
                </c:pt>
                <c:pt idx="3">
                  <c:v>Spring 2012</c:v>
                </c:pt>
                <c:pt idx="4">
                  <c:v>Fall 2012</c:v>
                </c:pt>
                <c:pt idx="5">
                  <c:v>Spring 2013</c:v>
                </c:pt>
              </c:strCache>
            </c:strRef>
          </c:cat>
          <c:val>
            <c:numRef>
              <c:f>'Success &amp; Retention by Time'!$O$574:$O$579</c:f>
              <c:numCache>
                <c:formatCode>General</c:formatCode>
                <c:ptCount val="6"/>
                <c:pt idx="0">
                  <c:v>9198</c:v>
                </c:pt>
                <c:pt idx="1">
                  <c:v>9214</c:v>
                </c:pt>
                <c:pt idx="2">
                  <c:v>7459</c:v>
                </c:pt>
                <c:pt idx="3">
                  <c:v>6605</c:v>
                </c:pt>
                <c:pt idx="4">
                  <c:v>7161</c:v>
                </c:pt>
                <c:pt idx="5">
                  <c:v>7094</c:v>
                </c:pt>
              </c:numCache>
            </c:numRef>
          </c:val>
          <c:smooth val="0"/>
        </c:ser>
        <c:ser>
          <c:idx val="2"/>
          <c:order val="2"/>
          <c:tx>
            <c:strRef>
              <c:f>'Success &amp; Retention by Time'!$P$573</c:f>
              <c:strCache>
                <c:ptCount val="1"/>
                <c:pt idx="0">
                  <c:v>OL</c:v>
                </c:pt>
              </c:strCache>
            </c:strRef>
          </c:tx>
          <c:cat>
            <c:strRef>
              <c:f>'Success &amp; Retention by Time'!$M$574:$M$579</c:f>
              <c:strCache>
                <c:ptCount val="6"/>
                <c:pt idx="0">
                  <c:v>Fall 2010</c:v>
                </c:pt>
                <c:pt idx="1">
                  <c:v>Spring 2011</c:v>
                </c:pt>
                <c:pt idx="2">
                  <c:v>Fall 2011</c:v>
                </c:pt>
                <c:pt idx="3">
                  <c:v>Spring 2012</c:v>
                </c:pt>
                <c:pt idx="4">
                  <c:v>Fall 2012</c:v>
                </c:pt>
                <c:pt idx="5">
                  <c:v>Spring 2013</c:v>
                </c:pt>
              </c:strCache>
            </c:strRef>
          </c:cat>
          <c:val>
            <c:numRef>
              <c:f>'Success &amp; Retention by Time'!$P$574:$P$579</c:f>
              <c:numCache>
                <c:formatCode>General</c:formatCode>
                <c:ptCount val="6"/>
                <c:pt idx="0">
                  <c:v>2049</c:v>
                </c:pt>
                <c:pt idx="1">
                  <c:v>2084</c:v>
                </c:pt>
                <c:pt idx="2">
                  <c:v>1962</c:v>
                </c:pt>
                <c:pt idx="3">
                  <c:v>1819</c:v>
                </c:pt>
                <c:pt idx="4">
                  <c:v>354</c:v>
                </c:pt>
                <c:pt idx="5">
                  <c:v>45</c:v>
                </c:pt>
              </c:numCache>
            </c:numRef>
          </c:val>
          <c:smooth val="0"/>
        </c:ser>
        <c:dLbls>
          <c:showLegendKey val="0"/>
          <c:showVal val="0"/>
          <c:showCatName val="0"/>
          <c:showSerName val="0"/>
          <c:showPercent val="0"/>
          <c:showBubbleSize val="0"/>
        </c:dLbls>
        <c:marker val="1"/>
        <c:smooth val="0"/>
        <c:axId val="86120704"/>
        <c:axId val="54202368"/>
      </c:lineChart>
      <c:catAx>
        <c:axId val="86120704"/>
        <c:scaling>
          <c:orientation val="minMax"/>
        </c:scaling>
        <c:delete val="0"/>
        <c:axPos val="b"/>
        <c:majorTickMark val="none"/>
        <c:minorTickMark val="none"/>
        <c:tickLblPos val="nextTo"/>
        <c:crossAx val="54202368"/>
        <c:crosses val="autoZero"/>
        <c:auto val="1"/>
        <c:lblAlgn val="ctr"/>
        <c:lblOffset val="100"/>
        <c:noMultiLvlLbl val="0"/>
      </c:catAx>
      <c:valAx>
        <c:axId val="54202368"/>
        <c:scaling>
          <c:orientation val="minMax"/>
        </c:scaling>
        <c:delete val="0"/>
        <c:axPos val="l"/>
        <c:majorGridlines/>
        <c:title>
          <c:tx>
            <c:rich>
              <a:bodyPr/>
              <a:lstStyle/>
              <a:p>
                <a:pPr>
                  <a:defRPr/>
                </a:pPr>
                <a:r>
                  <a:rPr lang="en-US"/>
                  <a:t>Number</a:t>
                </a:r>
              </a:p>
            </c:rich>
          </c:tx>
          <c:overlay val="0"/>
        </c:title>
        <c:numFmt formatCode="General" sourceLinked="1"/>
        <c:majorTickMark val="none"/>
        <c:minorTickMark val="none"/>
        <c:tickLblPos val="nextTo"/>
        <c:crossAx val="8612070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Success Rates</a:t>
            </a:r>
          </a:p>
        </c:rich>
      </c:tx>
      <c:overlay val="0"/>
    </c:title>
    <c:autoTitleDeleted val="0"/>
    <c:plotArea>
      <c:layout/>
      <c:lineChart>
        <c:grouping val="standard"/>
        <c:varyColors val="0"/>
        <c:ser>
          <c:idx val="0"/>
          <c:order val="0"/>
          <c:tx>
            <c:strRef>
              <c:f>'Success &amp; Retention by Time'!$C$586</c:f>
              <c:strCache>
                <c:ptCount val="1"/>
                <c:pt idx="0">
                  <c:v>Day</c:v>
                </c:pt>
              </c:strCache>
            </c:strRef>
          </c:tx>
          <c:cat>
            <c:strRef>
              <c:f>'Success &amp; Retention by Time'!$B$587:$B$592</c:f>
              <c:strCache>
                <c:ptCount val="6"/>
                <c:pt idx="0">
                  <c:v>Fall 2010</c:v>
                </c:pt>
                <c:pt idx="1">
                  <c:v>Spring 2011</c:v>
                </c:pt>
                <c:pt idx="2">
                  <c:v>Fall 2011</c:v>
                </c:pt>
                <c:pt idx="3">
                  <c:v>Spring 2012</c:v>
                </c:pt>
                <c:pt idx="4">
                  <c:v>Fall 2012</c:v>
                </c:pt>
                <c:pt idx="5">
                  <c:v>Spring 2013</c:v>
                </c:pt>
              </c:strCache>
            </c:strRef>
          </c:cat>
          <c:val>
            <c:numRef>
              <c:f>'Success &amp; Retention by Time'!$C$587:$C$592</c:f>
              <c:numCache>
                <c:formatCode>0%</c:formatCode>
                <c:ptCount val="6"/>
                <c:pt idx="0">
                  <c:v>0.71</c:v>
                </c:pt>
                <c:pt idx="1">
                  <c:v>0.69</c:v>
                </c:pt>
                <c:pt idx="2">
                  <c:v>0.75</c:v>
                </c:pt>
                <c:pt idx="3">
                  <c:v>0.71</c:v>
                </c:pt>
                <c:pt idx="4">
                  <c:v>0.74</c:v>
                </c:pt>
                <c:pt idx="5">
                  <c:v>0.71</c:v>
                </c:pt>
              </c:numCache>
            </c:numRef>
          </c:val>
          <c:smooth val="0"/>
        </c:ser>
        <c:ser>
          <c:idx val="1"/>
          <c:order val="1"/>
          <c:tx>
            <c:strRef>
              <c:f>'Success &amp; Retention by Time'!$D$586</c:f>
              <c:strCache>
                <c:ptCount val="1"/>
                <c:pt idx="0">
                  <c:v>Night</c:v>
                </c:pt>
              </c:strCache>
            </c:strRef>
          </c:tx>
          <c:cat>
            <c:strRef>
              <c:f>'Success &amp; Retention by Time'!$B$587:$B$592</c:f>
              <c:strCache>
                <c:ptCount val="6"/>
                <c:pt idx="0">
                  <c:v>Fall 2010</c:v>
                </c:pt>
                <c:pt idx="1">
                  <c:v>Spring 2011</c:v>
                </c:pt>
                <c:pt idx="2">
                  <c:v>Fall 2011</c:v>
                </c:pt>
                <c:pt idx="3">
                  <c:v>Spring 2012</c:v>
                </c:pt>
                <c:pt idx="4">
                  <c:v>Fall 2012</c:v>
                </c:pt>
                <c:pt idx="5">
                  <c:v>Spring 2013</c:v>
                </c:pt>
              </c:strCache>
            </c:strRef>
          </c:cat>
          <c:val>
            <c:numRef>
              <c:f>'Success &amp; Retention by Time'!$D$587:$D$592</c:f>
              <c:numCache>
                <c:formatCode>0%</c:formatCode>
                <c:ptCount val="6"/>
                <c:pt idx="0">
                  <c:v>0.71</c:v>
                </c:pt>
                <c:pt idx="1">
                  <c:v>0.71</c:v>
                </c:pt>
                <c:pt idx="2">
                  <c:v>0.71</c:v>
                </c:pt>
                <c:pt idx="3">
                  <c:v>0.74</c:v>
                </c:pt>
                <c:pt idx="4">
                  <c:v>0.75</c:v>
                </c:pt>
                <c:pt idx="5">
                  <c:v>0.75</c:v>
                </c:pt>
              </c:numCache>
            </c:numRef>
          </c:val>
          <c:smooth val="0"/>
        </c:ser>
        <c:ser>
          <c:idx val="2"/>
          <c:order val="2"/>
          <c:tx>
            <c:strRef>
              <c:f>'Success &amp; Retention by Time'!$E$586</c:f>
              <c:strCache>
                <c:ptCount val="1"/>
                <c:pt idx="0">
                  <c:v>OL</c:v>
                </c:pt>
              </c:strCache>
            </c:strRef>
          </c:tx>
          <c:cat>
            <c:strRef>
              <c:f>'Success &amp; Retention by Time'!$B$587:$B$592</c:f>
              <c:strCache>
                <c:ptCount val="6"/>
                <c:pt idx="0">
                  <c:v>Fall 2010</c:v>
                </c:pt>
                <c:pt idx="1">
                  <c:v>Spring 2011</c:v>
                </c:pt>
                <c:pt idx="2">
                  <c:v>Fall 2011</c:v>
                </c:pt>
                <c:pt idx="3">
                  <c:v>Spring 2012</c:v>
                </c:pt>
                <c:pt idx="4">
                  <c:v>Fall 2012</c:v>
                </c:pt>
                <c:pt idx="5">
                  <c:v>Spring 2013</c:v>
                </c:pt>
              </c:strCache>
            </c:strRef>
          </c:cat>
          <c:val>
            <c:numRef>
              <c:f>'Success &amp; Retention by Time'!$E$587:$E$592</c:f>
              <c:numCache>
                <c:formatCode>0%</c:formatCode>
                <c:ptCount val="6"/>
                <c:pt idx="0">
                  <c:v>0.49</c:v>
                </c:pt>
                <c:pt idx="1">
                  <c:v>0.55000000000000004</c:v>
                </c:pt>
                <c:pt idx="2">
                  <c:v>0.54</c:v>
                </c:pt>
                <c:pt idx="3">
                  <c:v>0.55000000000000004</c:v>
                </c:pt>
                <c:pt idx="4">
                  <c:v>0.54</c:v>
                </c:pt>
                <c:pt idx="5">
                  <c:v>0.7</c:v>
                </c:pt>
              </c:numCache>
            </c:numRef>
          </c:val>
          <c:smooth val="0"/>
        </c:ser>
        <c:dLbls>
          <c:showLegendKey val="0"/>
          <c:showVal val="0"/>
          <c:showCatName val="0"/>
          <c:showSerName val="0"/>
          <c:showPercent val="0"/>
          <c:showBubbleSize val="0"/>
        </c:dLbls>
        <c:marker val="1"/>
        <c:smooth val="0"/>
        <c:axId val="54230400"/>
        <c:axId val="54236288"/>
      </c:lineChart>
      <c:catAx>
        <c:axId val="54230400"/>
        <c:scaling>
          <c:orientation val="minMax"/>
        </c:scaling>
        <c:delete val="0"/>
        <c:axPos val="b"/>
        <c:majorTickMark val="none"/>
        <c:minorTickMark val="none"/>
        <c:tickLblPos val="nextTo"/>
        <c:crossAx val="54236288"/>
        <c:crosses val="autoZero"/>
        <c:auto val="1"/>
        <c:lblAlgn val="ctr"/>
        <c:lblOffset val="100"/>
        <c:noMultiLvlLbl val="0"/>
      </c:catAx>
      <c:valAx>
        <c:axId val="54236288"/>
        <c:scaling>
          <c:orientation val="minMax"/>
        </c:scaling>
        <c:delete val="0"/>
        <c:axPos val="l"/>
        <c:majorGridlines/>
        <c:title>
          <c:tx>
            <c:rich>
              <a:bodyPr/>
              <a:lstStyle/>
              <a:p>
                <a:pPr>
                  <a:defRPr/>
                </a:pPr>
                <a:r>
                  <a:rPr lang="en-US"/>
                  <a:t>Percentage</a:t>
                </a:r>
              </a:p>
            </c:rich>
          </c:tx>
          <c:overlay val="0"/>
        </c:title>
        <c:numFmt formatCode="0%" sourceLinked="1"/>
        <c:majorTickMark val="none"/>
        <c:minorTickMark val="none"/>
        <c:tickLblPos val="nextTo"/>
        <c:crossAx val="5423040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Retention Rates</a:t>
            </a:r>
          </a:p>
        </c:rich>
      </c:tx>
      <c:overlay val="0"/>
    </c:title>
    <c:autoTitleDeleted val="0"/>
    <c:plotArea>
      <c:layout/>
      <c:lineChart>
        <c:grouping val="standard"/>
        <c:varyColors val="0"/>
        <c:ser>
          <c:idx val="0"/>
          <c:order val="0"/>
          <c:tx>
            <c:strRef>
              <c:f>'Success &amp; Retention by Time'!$N$586</c:f>
              <c:strCache>
                <c:ptCount val="1"/>
                <c:pt idx="0">
                  <c:v>Day </c:v>
                </c:pt>
              </c:strCache>
            </c:strRef>
          </c:tx>
          <c:cat>
            <c:strRef>
              <c:f>'Success &amp; Retention by Time'!$M$587:$M$592</c:f>
              <c:strCache>
                <c:ptCount val="6"/>
                <c:pt idx="0">
                  <c:v>Fall 2010</c:v>
                </c:pt>
                <c:pt idx="1">
                  <c:v>Spring 2011</c:v>
                </c:pt>
                <c:pt idx="2">
                  <c:v>Fall 2011</c:v>
                </c:pt>
                <c:pt idx="3">
                  <c:v>Spring 2012</c:v>
                </c:pt>
                <c:pt idx="4">
                  <c:v>Fall 2012</c:v>
                </c:pt>
                <c:pt idx="5">
                  <c:v>Spring 2013</c:v>
                </c:pt>
              </c:strCache>
            </c:strRef>
          </c:cat>
          <c:val>
            <c:numRef>
              <c:f>'Success &amp; Retention by Time'!$N$587:$N$592</c:f>
              <c:numCache>
                <c:formatCode>0%</c:formatCode>
                <c:ptCount val="6"/>
                <c:pt idx="0">
                  <c:v>0.88</c:v>
                </c:pt>
                <c:pt idx="1">
                  <c:v>0.87</c:v>
                </c:pt>
                <c:pt idx="2">
                  <c:v>0.88</c:v>
                </c:pt>
                <c:pt idx="3">
                  <c:v>0.89</c:v>
                </c:pt>
                <c:pt idx="4">
                  <c:v>0.89</c:v>
                </c:pt>
                <c:pt idx="5">
                  <c:v>0.87</c:v>
                </c:pt>
              </c:numCache>
            </c:numRef>
          </c:val>
          <c:smooth val="0"/>
        </c:ser>
        <c:ser>
          <c:idx val="1"/>
          <c:order val="1"/>
          <c:tx>
            <c:strRef>
              <c:f>'Success &amp; Retention by Time'!$O$586</c:f>
              <c:strCache>
                <c:ptCount val="1"/>
                <c:pt idx="0">
                  <c:v>Night</c:v>
                </c:pt>
              </c:strCache>
            </c:strRef>
          </c:tx>
          <c:cat>
            <c:strRef>
              <c:f>'Success &amp; Retention by Time'!$M$587:$M$592</c:f>
              <c:strCache>
                <c:ptCount val="6"/>
                <c:pt idx="0">
                  <c:v>Fall 2010</c:v>
                </c:pt>
                <c:pt idx="1">
                  <c:v>Spring 2011</c:v>
                </c:pt>
                <c:pt idx="2">
                  <c:v>Fall 2011</c:v>
                </c:pt>
                <c:pt idx="3">
                  <c:v>Spring 2012</c:v>
                </c:pt>
                <c:pt idx="4">
                  <c:v>Fall 2012</c:v>
                </c:pt>
                <c:pt idx="5">
                  <c:v>Spring 2013</c:v>
                </c:pt>
              </c:strCache>
            </c:strRef>
          </c:cat>
          <c:val>
            <c:numRef>
              <c:f>'Success &amp; Retention by Time'!$O$587:$O$592</c:f>
              <c:numCache>
                <c:formatCode>0%</c:formatCode>
                <c:ptCount val="6"/>
                <c:pt idx="0">
                  <c:v>0.87</c:v>
                </c:pt>
                <c:pt idx="1">
                  <c:v>0.86</c:v>
                </c:pt>
                <c:pt idx="2">
                  <c:v>0.86</c:v>
                </c:pt>
                <c:pt idx="3">
                  <c:v>0.88</c:v>
                </c:pt>
                <c:pt idx="4">
                  <c:v>0.88</c:v>
                </c:pt>
                <c:pt idx="5">
                  <c:v>0.87</c:v>
                </c:pt>
              </c:numCache>
            </c:numRef>
          </c:val>
          <c:smooth val="0"/>
        </c:ser>
        <c:ser>
          <c:idx val="2"/>
          <c:order val="2"/>
          <c:tx>
            <c:strRef>
              <c:f>'Success &amp; Retention by Time'!$P$586</c:f>
              <c:strCache>
                <c:ptCount val="1"/>
                <c:pt idx="0">
                  <c:v>OL</c:v>
                </c:pt>
              </c:strCache>
            </c:strRef>
          </c:tx>
          <c:cat>
            <c:strRef>
              <c:f>'Success &amp; Retention by Time'!$M$587:$M$592</c:f>
              <c:strCache>
                <c:ptCount val="6"/>
                <c:pt idx="0">
                  <c:v>Fall 2010</c:v>
                </c:pt>
                <c:pt idx="1">
                  <c:v>Spring 2011</c:v>
                </c:pt>
                <c:pt idx="2">
                  <c:v>Fall 2011</c:v>
                </c:pt>
                <c:pt idx="3">
                  <c:v>Spring 2012</c:v>
                </c:pt>
                <c:pt idx="4">
                  <c:v>Fall 2012</c:v>
                </c:pt>
                <c:pt idx="5">
                  <c:v>Spring 2013</c:v>
                </c:pt>
              </c:strCache>
            </c:strRef>
          </c:cat>
          <c:val>
            <c:numRef>
              <c:f>'Success &amp; Retention by Time'!$P$587:$P$592</c:f>
              <c:numCache>
                <c:formatCode>0%</c:formatCode>
                <c:ptCount val="6"/>
                <c:pt idx="0">
                  <c:v>0.75</c:v>
                </c:pt>
                <c:pt idx="1">
                  <c:v>0.77</c:v>
                </c:pt>
                <c:pt idx="2">
                  <c:v>0.77</c:v>
                </c:pt>
                <c:pt idx="3">
                  <c:v>0.81</c:v>
                </c:pt>
                <c:pt idx="4">
                  <c:v>0.76</c:v>
                </c:pt>
                <c:pt idx="5">
                  <c:v>0.95</c:v>
                </c:pt>
              </c:numCache>
            </c:numRef>
          </c:val>
          <c:smooth val="0"/>
        </c:ser>
        <c:dLbls>
          <c:showLegendKey val="0"/>
          <c:showVal val="0"/>
          <c:showCatName val="0"/>
          <c:showSerName val="0"/>
          <c:showPercent val="0"/>
          <c:showBubbleSize val="0"/>
        </c:dLbls>
        <c:marker val="1"/>
        <c:smooth val="0"/>
        <c:axId val="86442752"/>
        <c:axId val="86444288"/>
      </c:lineChart>
      <c:catAx>
        <c:axId val="86442752"/>
        <c:scaling>
          <c:orientation val="minMax"/>
        </c:scaling>
        <c:delete val="0"/>
        <c:axPos val="b"/>
        <c:majorTickMark val="none"/>
        <c:minorTickMark val="none"/>
        <c:tickLblPos val="nextTo"/>
        <c:crossAx val="86444288"/>
        <c:crosses val="autoZero"/>
        <c:auto val="1"/>
        <c:lblAlgn val="ctr"/>
        <c:lblOffset val="100"/>
        <c:noMultiLvlLbl val="0"/>
      </c:catAx>
      <c:valAx>
        <c:axId val="86444288"/>
        <c:scaling>
          <c:orientation val="minMax"/>
        </c:scaling>
        <c:delete val="0"/>
        <c:axPos val="l"/>
        <c:majorGridlines/>
        <c:title>
          <c:tx>
            <c:rich>
              <a:bodyPr/>
              <a:lstStyle/>
              <a:p>
                <a:pPr>
                  <a:defRPr/>
                </a:pPr>
                <a:r>
                  <a:rPr lang="en-US"/>
                  <a:t>Percentage</a:t>
                </a:r>
              </a:p>
            </c:rich>
          </c:tx>
          <c:overlay val="0"/>
        </c:title>
        <c:numFmt formatCode="0%" sourceLinked="1"/>
        <c:majorTickMark val="none"/>
        <c:minorTickMark val="none"/>
        <c:tickLblPos val="nextTo"/>
        <c:crossAx val="8644275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CFEE-F66E-475F-8926-0D59CE72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2916</Words>
  <Characters>16624</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2014-02-20T17:43:00Z</cp:lastPrinted>
  <dcterms:created xsi:type="dcterms:W3CDTF">2014-04-15T19:44:00Z</dcterms:created>
  <dcterms:modified xsi:type="dcterms:W3CDTF">2014-04-15T19:44:00Z</dcterms:modified>
</cp:coreProperties>
</file>