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8E6870" w:rsidRDefault="008E6870">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1A3688" w:rsidRDefault="001A3688">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2002C" w:rsidP="007E4294">
            <w:pPr>
              <w:rPr>
                <w:sz w:val="24"/>
                <w:szCs w:val="24"/>
              </w:rPr>
            </w:pPr>
            <w:r>
              <w:rPr>
                <w:sz w:val="24"/>
                <w:szCs w:val="24"/>
              </w:rPr>
              <w:t>2013-2014</w:t>
            </w:r>
          </w:p>
        </w:tc>
        <w:tc>
          <w:tcPr>
            <w:tcW w:w="6912" w:type="dxa"/>
            <w:vAlign w:val="center"/>
          </w:tcPr>
          <w:p w:rsidR="000403F6" w:rsidRDefault="00046042" w:rsidP="003835E7">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3835E7" w:rsidRPr="003835E7">
              <w:rPr>
                <w:b/>
                <w:sz w:val="24"/>
                <w:szCs w:val="24"/>
              </w:rPr>
              <w:t>X</w:t>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003835E7" w:rsidRPr="003835E7">
              <w:rPr>
                <w:b/>
                <w:sz w:val="24"/>
                <w:szCs w:val="24"/>
              </w:rPr>
              <w:t>X</w:t>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2002C" w:rsidP="004B7383">
            <w:pPr>
              <w:rPr>
                <w:sz w:val="24"/>
                <w:szCs w:val="24"/>
              </w:rPr>
            </w:pPr>
            <w:r>
              <w:rPr>
                <w:sz w:val="24"/>
                <w:szCs w:val="24"/>
              </w:rPr>
              <w:t>Business Administration for Transfer, Business Marketing/Management/Financial Services</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F2002C" w:rsidP="00F2002C">
            <w:pPr>
              <w:rPr>
                <w:sz w:val="24"/>
                <w:szCs w:val="24"/>
              </w:rPr>
            </w:pPr>
            <w:bookmarkStart w:id="0" w:name="Dropdown2"/>
            <w:r>
              <w:rPr>
                <w:sz w:val="24"/>
                <w:szCs w:val="24"/>
              </w:rPr>
              <w:t xml:space="preserve">BUS </w:t>
            </w:r>
            <w:bookmarkEnd w:id="0"/>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F2002C" w:rsidP="00F2002C">
            <w:pPr>
              <w:rPr>
                <w:sz w:val="24"/>
                <w:szCs w:val="24"/>
              </w:rPr>
            </w:pPr>
            <w:r>
              <w:rPr>
                <w:sz w:val="24"/>
                <w:szCs w:val="24"/>
              </w:rPr>
              <w:t>EWD</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F2002C" w:rsidP="004B7383">
            <w:pPr>
              <w:rPr>
                <w:sz w:val="24"/>
                <w:szCs w:val="24"/>
              </w:rPr>
            </w:pPr>
            <w:r>
              <w:rPr>
                <w:sz w:val="24"/>
                <w:szCs w:val="24"/>
              </w:rPr>
              <w:t>Craig Blek</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001C6D9E">
              <w:rPr>
                <w:sz w:val="24"/>
                <w:szCs w:val="24"/>
              </w:rPr>
              <w:t>Increased secretarial support (from a 50% assignment to 100%)</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5B59C1" w:rsidRPr="003B17D4" w:rsidRDefault="001C6D9E" w:rsidP="00D001FF">
            <w:pPr>
              <w:jc w:val="center"/>
              <w:rPr>
                <w:sz w:val="24"/>
                <w:szCs w:val="24"/>
              </w:rPr>
            </w:pPr>
            <w:r>
              <w:rPr>
                <w:sz w:val="24"/>
                <w:szCs w:val="24"/>
              </w:rPr>
              <w:t xml:space="preserve"> </w:t>
            </w:r>
            <w:r w:rsidRPr="001C6D9E">
              <w:rPr>
                <w:b/>
                <w:sz w:val="24"/>
                <w:szCs w:val="24"/>
              </w:rPr>
              <w:t>X</w:t>
            </w:r>
            <w:r>
              <w:rPr>
                <w:sz w:val="24"/>
                <w:szCs w:val="24"/>
              </w:rPr>
              <w:t xml:space="preserve">  </w:t>
            </w:r>
            <w:r w:rsidR="005B59C1"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1C6D9E" w:rsidP="000C3BC9">
            <w:pPr>
              <w:rPr>
                <w:sz w:val="24"/>
                <w:szCs w:val="24"/>
              </w:rPr>
            </w:pPr>
            <w:r w:rsidRPr="001C6D9E">
              <w:rPr>
                <w:b/>
                <w:sz w:val="24"/>
                <w:szCs w:val="24"/>
              </w:rPr>
              <w:t>X</w:t>
            </w:r>
            <w:r>
              <w:rPr>
                <w:sz w:val="24"/>
                <w:szCs w:val="24"/>
              </w:rPr>
              <w:t xml:space="preserve">  </w:t>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1C6D9E">
              <w:rPr>
                <w:sz w:val="24"/>
                <w:szCs w:val="24"/>
              </w:rPr>
              <w:t>Budget constraints have not allowed the college to add additional support staff.</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p w:rsidR="0023193A" w:rsidRDefault="0023193A"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F04D9" w:rsidRDefault="002F04D9" w:rsidP="002F04D9">
      <w:pPr>
        <w:spacing w:after="0" w:line="240" w:lineRule="auto"/>
        <w:rPr>
          <w:sz w:val="24"/>
          <w:szCs w:val="24"/>
        </w:rPr>
      </w:pPr>
    </w:p>
    <w:tbl>
      <w:tblPr>
        <w:tblW w:w="14260" w:type="dxa"/>
        <w:tblInd w:w="93" w:type="dxa"/>
        <w:tblLook w:val="04A0" w:firstRow="1" w:lastRow="0" w:firstColumn="1" w:lastColumn="0" w:noHBand="0" w:noVBand="1"/>
      </w:tblPr>
      <w:tblGrid>
        <w:gridCol w:w="1185"/>
        <w:gridCol w:w="686"/>
        <w:gridCol w:w="860"/>
        <w:gridCol w:w="900"/>
        <w:gridCol w:w="960"/>
        <w:gridCol w:w="900"/>
        <w:gridCol w:w="900"/>
        <w:gridCol w:w="672"/>
        <w:gridCol w:w="595"/>
        <w:gridCol w:w="774"/>
        <w:gridCol w:w="1300"/>
        <w:gridCol w:w="1240"/>
        <w:gridCol w:w="839"/>
        <w:gridCol w:w="1040"/>
        <w:gridCol w:w="526"/>
        <w:gridCol w:w="680"/>
        <w:gridCol w:w="460"/>
      </w:tblGrid>
      <w:tr w:rsidR="002F04D9" w:rsidRPr="002F04D9" w:rsidTr="002F04D9">
        <w:trPr>
          <w:trHeight w:val="300"/>
        </w:trPr>
        <w:tc>
          <w:tcPr>
            <w:tcW w:w="1780" w:type="dxa"/>
            <w:gridSpan w:val="2"/>
            <w:tcBorders>
              <w:top w:val="nil"/>
              <w:left w:val="nil"/>
              <w:bottom w:val="nil"/>
              <w:right w:val="nil"/>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Business Admin</w:t>
            </w:r>
          </w:p>
        </w:tc>
        <w:tc>
          <w:tcPr>
            <w:tcW w:w="86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90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64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74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130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124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82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104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52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68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c>
          <w:tcPr>
            <w:tcW w:w="460" w:type="dxa"/>
            <w:tcBorders>
              <w:top w:val="nil"/>
              <w:left w:val="nil"/>
              <w:bottom w:val="nil"/>
              <w:right w:val="nil"/>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p>
        </w:tc>
      </w:tr>
      <w:tr w:rsidR="002F04D9" w:rsidRPr="002F04D9" w:rsidTr="002F04D9">
        <w:trPr>
          <w:trHeight w:val="30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Term</w:t>
            </w:r>
          </w:p>
        </w:tc>
        <w:tc>
          <w:tcPr>
            <w:tcW w:w="595"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Enroll</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Fill Rate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Sections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Mass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Avg. Cap</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Avg. Size</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FTES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FTEF</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WSCH</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(WSCH/FTEF)</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 xml:space="preserve"> (FTES/FTEF)</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Success</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Retention</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Day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Night</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OL</w:t>
            </w:r>
          </w:p>
        </w:tc>
      </w:tr>
      <w:tr w:rsidR="002F04D9" w:rsidRPr="002F04D9" w:rsidTr="002F04D9">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Fall 2010</w:t>
            </w:r>
          </w:p>
        </w:tc>
        <w:tc>
          <w:tcPr>
            <w:tcW w:w="595"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517</w:t>
            </w:r>
          </w:p>
        </w:tc>
        <w:tc>
          <w:tcPr>
            <w:tcW w:w="8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88%</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590</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34.71</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30.41</w:t>
            </w:r>
          </w:p>
        </w:tc>
        <w:tc>
          <w:tcPr>
            <w:tcW w:w="6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63.91</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4.05</w:t>
            </w:r>
          </w:p>
        </w:tc>
        <w:tc>
          <w:tcPr>
            <w:tcW w:w="7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2107.6</w:t>
            </w:r>
          </w:p>
        </w:tc>
        <w:tc>
          <w:tcPr>
            <w:tcW w:w="13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516.72</w:t>
            </w:r>
          </w:p>
        </w:tc>
        <w:tc>
          <w:tcPr>
            <w:tcW w:w="12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15.78</w:t>
            </w:r>
          </w:p>
        </w:tc>
        <w:tc>
          <w:tcPr>
            <w:tcW w:w="8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68.28%</w:t>
            </w:r>
          </w:p>
        </w:tc>
        <w:tc>
          <w:tcPr>
            <w:tcW w:w="10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83.95%</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11</w:t>
            </w:r>
          </w:p>
        </w:tc>
        <w:tc>
          <w:tcPr>
            <w:tcW w:w="68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w:t>
            </w:r>
          </w:p>
        </w:tc>
        <w:tc>
          <w:tcPr>
            <w:tcW w:w="4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w:t>
            </w:r>
          </w:p>
        </w:tc>
      </w:tr>
      <w:tr w:rsidR="002F04D9" w:rsidRPr="002F04D9" w:rsidTr="002F04D9">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Spring 2011</w:t>
            </w:r>
          </w:p>
        </w:tc>
        <w:tc>
          <w:tcPr>
            <w:tcW w:w="595"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481</w:t>
            </w:r>
          </w:p>
        </w:tc>
        <w:tc>
          <w:tcPr>
            <w:tcW w:w="8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89%</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16</w:t>
            </w:r>
          </w:p>
        </w:tc>
        <w:tc>
          <w:tcPr>
            <w:tcW w:w="9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542</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33.88</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30.06</w:t>
            </w:r>
          </w:p>
        </w:tc>
        <w:tc>
          <w:tcPr>
            <w:tcW w:w="6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54.88</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3.85</w:t>
            </w:r>
          </w:p>
        </w:tc>
        <w:tc>
          <w:tcPr>
            <w:tcW w:w="7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1972</w:t>
            </w:r>
          </w:p>
        </w:tc>
        <w:tc>
          <w:tcPr>
            <w:tcW w:w="13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510.77</w:t>
            </w:r>
          </w:p>
        </w:tc>
        <w:tc>
          <w:tcPr>
            <w:tcW w:w="12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14.25</w:t>
            </w:r>
          </w:p>
        </w:tc>
        <w:tc>
          <w:tcPr>
            <w:tcW w:w="8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62.58%</w:t>
            </w:r>
          </w:p>
        </w:tc>
        <w:tc>
          <w:tcPr>
            <w:tcW w:w="10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85.03%</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11</w:t>
            </w:r>
          </w:p>
        </w:tc>
        <w:tc>
          <w:tcPr>
            <w:tcW w:w="68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w:t>
            </w:r>
          </w:p>
        </w:tc>
        <w:tc>
          <w:tcPr>
            <w:tcW w:w="4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w:t>
            </w:r>
          </w:p>
        </w:tc>
      </w:tr>
      <w:tr w:rsidR="002F04D9" w:rsidRPr="002F04D9" w:rsidTr="002F04D9">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Fall 2011</w:t>
            </w:r>
          </w:p>
        </w:tc>
        <w:tc>
          <w:tcPr>
            <w:tcW w:w="595"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539</w:t>
            </w:r>
          </w:p>
        </w:tc>
        <w:tc>
          <w:tcPr>
            <w:tcW w:w="8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87%</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18</w:t>
            </w:r>
          </w:p>
        </w:tc>
        <w:tc>
          <w:tcPr>
            <w:tcW w:w="9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619</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34.39</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29.94</w:t>
            </w:r>
          </w:p>
        </w:tc>
        <w:tc>
          <w:tcPr>
            <w:tcW w:w="6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65.56</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4.25</w:t>
            </w:r>
          </w:p>
        </w:tc>
        <w:tc>
          <w:tcPr>
            <w:tcW w:w="7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2175.8</w:t>
            </w:r>
          </w:p>
        </w:tc>
        <w:tc>
          <w:tcPr>
            <w:tcW w:w="13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508.79</w:t>
            </w:r>
          </w:p>
        </w:tc>
        <w:tc>
          <w:tcPr>
            <w:tcW w:w="12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15.43</w:t>
            </w:r>
          </w:p>
        </w:tc>
        <w:tc>
          <w:tcPr>
            <w:tcW w:w="8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62.71%</w:t>
            </w:r>
          </w:p>
        </w:tc>
        <w:tc>
          <w:tcPr>
            <w:tcW w:w="10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79.96%</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13</w:t>
            </w:r>
          </w:p>
        </w:tc>
        <w:tc>
          <w:tcPr>
            <w:tcW w:w="68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w:t>
            </w:r>
          </w:p>
        </w:tc>
        <w:tc>
          <w:tcPr>
            <w:tcW w:w="4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w:t>
            </w:r>
          </w:p>
        </w:tc>
      </w:tr>
      <w:tr w:rsidR="002F04D9" w:rsidRPr="002F04D9" w:rsidTr="002F04D9">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Spring 2012</w:t>
            </w:r>
          </w:p>
        </w:tc>
        <w:tc>
          <w:tcPr>
            <w:tcW w:w="595"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401</w:t>
            </w:r>
          </w:p>
        </w:tc>
        <w:tc>
          <w:tcPr>
            <w:tcW w:w="8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69%</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17</w:t>
            </w:r>
          </w:p>
        </w:tc>
        <w:tc>
          <w:tcPr>
            <w:tcW w:w="9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582</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34.24</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23.59</w:t>
            </w:r>
          </w:p>
        </w:tc>
        <w:tc>
          <w:tcPr>
            <w:tcW w:w="6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49.85</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4.05</w:t>
            </w:r>
          </w:p>
        </w:tc>
        <w:tc>
          <w:tcPr>
            <w:tcW w:w="7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1616.4</w:t>
            </w:r>
          </w:p>
        </w:tc>
        <w:tc>
          <w:tcPr>
            <w:tcW w:w="13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400.79</w:t>
            </w:r>
          </w:p>
        </w:tc>
        <w:tc>
          <w:tcPr>
            <w:tcW w:w="12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12.31</w:t>
            </w:r>
          </w:p>
        </w:tc>
        <w:tc>
          <w:tcPr>
            <w:tcW w:w="8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61.10%</w:t>
            </w:r>
          </w:p>
        </w:tc>
        <w:tc>
          <w:tcPr>
            <w:tcW w:w="10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86.28%</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13</w:t>
            </w:r>
          </w:p>
        </w:tc>
        <w:tc>
          <w:tcPr>
            <w:tcW w:w="68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w:t>
            </w:r>
          </w:p>
        </w:tc>
        <w:tc>
          <w:tcPr>
            <w:tcW w:w="4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w:t>
            </w:r>
          </w:p>
        </w:tc>
      </w:tr>
      <w:tr w:rsidR="002F04D9" w:rsidRPr="002F04D9" w:rsidTr="002F04D9">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Fall 2012</w:t>
            </w:r>
          </w:p>
        </w:tc>
        <w:tc>
          <w:tcPr>
            <w:tcW w:w="595"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412</w:t>
            </w:r>
          </w:p>
        </w:tc>
        <w:tc>
          <w:tcPr>
            <w:tcW w:w="8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87%</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472</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33.71</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29.43</w:t>
            </w:r>
          </w:p>
        </w:tc>
        <w:tc>
          <w:tcPr>
            <w:tcW w:w="6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48.92</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3.32</w:t>
            </w:r>
          </w:p>
        </w:tc>
        <w:tc>
          <w:tcPr>
            <w:tcW w:w="7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1675.8</w:t>
            </w:r>
          </w:p>
        </w:tc>
        <w:tc>
          <w:tcPr>
            <w:tcW w:w="13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500.02</w:t>
            </w:r>
          </w:p>
        </w:tc>
        <w:tc>
          <w:tcPr>
            <w:tcW w:w="12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14.73</w:t>
            </w:r>
          </w:p>
        </w:tc>
        <w:tc>
          <w:tcPr>
            <w:tcW w:w="8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66.26%</w:t>
            </w:r>
          </w:p>
        </w:tc>
        <w:tc>
          <w:tcPr>
            <w:tcW w:w="10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85.44%</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9</w:t>
            </w:r>
          </w:p>
        </w:tc>
        <w:tc>
          <w:tcPr>
            <w:tcW w:w="68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w:t>
            </w:r>
          </w:p>
        </w:tc>
        <w:tc>
          <w:tcPr>
            <w:tcW w:w="4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0</w:t>
            </w:r>
          </w:p>
        </w:tc>
      </w:tr>
      <w:tr w:rsidR="002F04D9" w:rsidRPr="002F04D9" w:rsidTr="002F04D9">
        <w:trPr>
          <w:trHeight w:val="300"/>
        </w:trPr>
        <w:tc>
          <w:tcPr>
            <w:tcW w:w="1185" w:type="dxa"/>
            <w:tcBorders>
              <w:top w:val="nil"/>
              <w:left w:val="single" w:sz="4" w:space="0" w:color="auto"/>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rPr>
                <w:rFonts w:ascii="Calibri" w:eastAsia="Times New Roman" w:hAnsi="Calibri" w:cs="Calibri"/>
                <w:color w:val="000000"/>
                <w:sz w:val="20"/>
                <w:szCs w:val="20"/>
              </w:rPr>
            </w:pPr>
            <w:r w:rsidRPr="002F04D9">
              <w:rPr>
                <w:rFonts w:ascii="Calibri" w:eastAsia="Times New Roman" w:hAnsi="Calibri" w:cs="Calibri"/>
                <w:color w:val="000000"/>
                <w:sz w:val="20"/>
                <w:szCs w:val="20"/>
              </w:rPr>
              <w:t>Spring 2013</w:t>
            </w:r>
          </w:p>
        </w:tc>
        <w:tc>
          <w:tcPr>
            <w:tcW w:w="595"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458</w:t>
            </w:r>
          </w:p>
        </w:tc>
        <w:tc>
          <w:tcPr>
            <w:tcW w:w="8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98%</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14</w:t>
            </w:r>
          </w:p>
        </w:tc>
        <w:tc>
          <w:tcPr>
            <w:tcW w:w="9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468</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33.43</w:t>
            </w:r>
          </w:p>
        </w:tc>
        <w:tc>
          <w:tcPr>
            <w:tcW w:w="9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32.71</w:t>
            </w:r>
          </w:p>
        </w:tc>
        <w:tc>
          <w:tcPr>
            <w:tcW w:w="6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54.33</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3.32</w:t>
            </w:r>
          </w:p>
        </w:tc>
        <w:tc>
          <w:tcPr>
            <w:tcW w:w="7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1838.8</w:t>
            </w:r>
          </w:p>
        </w:tc>
        <w:tc>
          <w:tcPr>
            <w:tcW w:w="130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555.87</w:t>
            </w:r>
          </w:p>
        </w:tc>
        <w:tc>
          <w:tcPr>
            <w:tcW w:w="12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16.36</w:t>
            </w:r>
          </w:p>
        </w:tc>
        <w:tc>
          <w:tcPr>
            <w:tcW w:w="8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67.47%</w:t>
            </w:r>
          </w:p>
        </w:tc>
        <w:tc>
          <w:tcPr>
            <w:tcW w:w="104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86.03%</w:t>
            </w:r>
          </w:p>
        </w:tc>
        <w:tc>
          <w:tcPr>
            <w:tcW w:w="52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8</w:t>
            </w:r>
          </w:p>
        </w:tc>
        <w:tc>
          <w:tcPr>
            <w:tcW w:w="68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6</w:t>
            </w:r>
          </w:p>
        </w:tc>
        <w:tc>
          <w:tcPr>
            <w:tcW w:w="460" w:type="dxa"/>
            <w:tcBorders>
              <w:top w:val="nil"/>
              <w:left w:val="nil"/>
              <w:bottom w:val="single" w:sz="4" w:space="0" w:color="auto"/>
              <w:right w:val="single" w:sz="4" w:space="0" w:color="auto"/>
            </w:tcBorders>
            <w:shd w:val="clear" w:color="auto" w:fill="auto"/>
            <w:noWrap/>
            <w:vAlign w:val="bottom"/>
            <w:hideMark/>
          </w:tcPr>
          <w:p w:rsidR="002F04D9" w:rsidRPr="002F04D9" w:rsidRDefault="002F04D9" w:rsidP="002F04D9">
            <w:pPr>
              <w:spacing w:after="0" w:line="240" w:lineRule="auto"/>
              <w:jc w:val="center"/>
              <w:rPr>
                <w:rFonts w:ascii="Calibri" w:eastAsia="Times New Roman" w:hAnsi="Calibri" w:cs="Calibri"/>
                <w:color w:val="000000"/>
                <w:sz w:val="20"/>
                <w:szCs w:val="20"/>
              </w:rPr>
            </w:pPr>
            <w:r w:rsidRPr="002F04D9">
              <w:rPr>
                <w:rFonts w:ascii="Calibri" w:eastAsia="Times New Roman" w:hAnsi="Calibri" w:cs="Calibri"/>
                <w:color w:val="000000"/>
                <w:sz w:val="20"/>
                <w:szCs w:val="20"/>
              </w:rPr>
              <w:t>0</w:t>
            </w:r>
          </w:p>
        </w:tc>
      </w:tr>
    </w:tbl>
    <w:p w:rsidR="002F04D9" w:rsidRPr="002F04D9" w:rsidRDefault="002F04D9" w:rsidP="002F04D9">
      <w:pPr>
        <w:spacing w:after="0" w:line="240" w:lineRule="auto"/>
        <w:ind w:left="1440"/>
        <w:rPr>
          <w:sz w:val="24"/>
          <w:szCs w:val="24"/>
        </w:rPr>
      </w:pPr>
    </w:p>
    <w:p w:rsidR="0023193A" w:rsidRDefault="0023193A" w:rsidP="00110022">
      <w:pPr>
        <w:pStyle w:val="ListParagraph"/>
        <w:spacing w:after="0" w:line="240" w:lineRule="auto"/>
        <w:ind w:left="1800"/>
        <w:rPr>
          <w:sz w:val="24"/>
          <w:szCs w:val="24"/>
        </w:rPr>
      </w:pPr>
    </w:p>
    <w:p w:rsidR="00110022" w:rsidRDefault="0011602C" w:rsidP="00110022">
      <w:pPr>
        <w:pStyle w:val="ListParagraph"/>
        <w:spacing w:after="0" w:line="240" w:lineRule="auto"/>
        <w:ind w:left="1800"/>
        <w:rPr>
          <w:sz w:val="24"/>
          <w:szCs w:val="24"/>
        </w:rPr>
      </w:pPr>
      <w:r>
        <w:rPr>
          <w:noProof/>
        </w:rPr>
        <w:drawing>
          <wp:inline distT="0" distB="0" distL="0" distR="0" wp14:anchorId="051E4C34" wp14:editId="158A9E47">
            <wp:extent cx="4572000" cy="21717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602C" w:rsidRDefault="0011602C" w:rsidP="00110022">
      <w:pPr>
        <w:pStyle w:val="ListParagraph"/>
        <w:spacing w:after="0" w:line="240" w:lineRule="auto"/>
        <w:ind w:left="1800"/>
        <w:rPr>
          <w:sz w:val="24"/>
          <w:szCs w:val="24"/>
        </w:rPr>
      </w:pPr>
    </w:p>
    <w:p w:rsidR="00110022" w:rsidRDefault="0011602C" w:rsidP="00110022">
      <w:pPr>
        <w:pStyle w:val="ListParagraph"/>
        <w:spacing w:after="0" w:line="240" w:lineRule="auto"/>
        <w:ind w:left="1800"/>
        <w:rPr>
          <w:sz w:val="24"/>
          <w:szCs w:val="24"/>
        </w:rPr>
      </w:pPr>
      <w:r>
        <w:rPr>
          <w:noProof/>
        </w:rPr>
        <w:lastRenderedPageBreak/>
        <w:drawing>
          <wp:inline distT="0" distB="0" distL="0" distR="0" wp14:anchorId="53426CA6" wp14:editId="0D658534">
            <wp:extent cx="4572000" cy="21717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602C" w:rsidRDefault="0011602C" w:rsidP="00110022">
      <w:pPr>
        <w:pStyle w:val="ListParagraph"/>
        <w:spacing w:after="0" w:line="240" w:lineRule="auto"/>
        <w:ind w:left="1800"/>
        <w:rPr>
          <w:sz w:val="24"/>
          <w:szCs w:val="24"/>
        </w:rPr>
      </w:pPr>
      <w:r>
        <w:rPr>
          <w:noProof/>
        </w:rPr>
        <w:drawing>
          <wp:inline distT="0" distB="0" distL="0" distR="0" wp14:anchorId="14312FAA" wp14:editId="5DFE8EF3">
            <wp:extent cx="4572000" cy="21717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602C" w:rsidRDefault="0011602C" w:rsidP="00110022">
      <w:pPr>
        <w:pStyle w:val="ListParagraph"/>
        <w:spacing w:after="0" w:line="240" w:lineRule="auto"/>
        <w:ind w:left="1800"/>
        <w:rPr>
          <w:sz w:val="24"/>
          <w:szCs w:val="24"/>
        </w:rPr>
      </w:pPr>
    </w:p>
    <w:p w:rsidR="0011602C" w:rsidRDefault="0011602C" w:rsidP="00110022">
      <w:pPr>
        <w:pStyle w:val="ListParagraph"/>
        <w:spacing w:after="0" w:line="240" w:lineRule="auto"/>
        <w:ind w:left="1800"/>
        <w:rPr>
          <w:sz w:val="24"/>
          <w:szCs w:val="24"/>
        </w:rPr>
      </w:pPr>
      <w:r>
        <w:rPr>
          <w:noProof/>
        </w:rPr>
        <w:lastRenderedPageBreak/>
        <w:drawing>
          <wp:inline distT="0" distB="0" distL="0" distR="0" wp14:anchorId="7D78C1B5" wp14:editId="17800B2F">
            <wp:extent cx="4572000" cy="21717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1602C" w:rsidRDefault="0011602C" w:rsidP="00110022">
      <w:pPr>
        <w:pStyle w:val="ListParagraph"/>
        <w:spacing w:after="0" w:line="240" w:lineRule="auto"/>
        <w:ind w:left="1800"/>
        <w:rPr>
          <w:sz w:val="24"/>
          <w:szCs w:val="24"/>
        </w:rPr>
      </w:pPr>
    </w:p>
    <w:p w:rsidR="0011602C" w:rsidRDefault="0011602C" w:rsidP="00110022">
      <w:pPr>
        <w:pStyle w:val="ListParagraph"/>
        <w:spacing w:after="0" w:line="240" w:lineRule="auto"/>
        <w:ind w:left="1800"/>
        <w:rPr>
          <w:sz w:val="24"/>
          <w:szCs w:val="24"/>
        </w:rPr>
      </w:pPr>
      <w:r>
        <w:rPr>
          <w:sz w:val="24"/>
          <w:szCs w:val="24"/>
        </w:rPr>
        <w:t xml:space="preserve">No real trends are evident here. </w:t>
      </w:r>
      <w:r w:rsidR="00492DDA">
        <w:rPr>
          <w:sz w:val="24"/>
          <w:szCs w:val="24"/>
        </w:rPr>
        <w:t xml:space="preserve">Fill rates are fairly constant across both day and evening classes. There was a large drop in both </w:t>
      </w:r>
      <w:bookmarkStart w:id="1" w:name="_GoBack"/>
      <w:bookmarkEnd w:id="1"/>
      <w:r w:rsidR="00492DDA">
        <w:rPr>
          <w:sz w:val="24"/>
          <w:szCs w:val="24"/>
        </w:rPr>
        <w:t xml:space="preserve">enrollment and fill rates in </w:t>
      </w:r>
      <w:proofErr w:type="gramStart"/>
      <w:r w:rsidR="00492DDA">
        <w:rPr>
          <w:sz w:val="24"/>
          <w:szCs w:val="24"/>
        </w:rPr>
        <w:t>Spring</w:t>
      </w:r>
      <w:proofErr w:type="gramEnd"/>
      <w:r w:rsidR="00492DDA">
        <w:rPr>
          <w:sz w:val="24"/>
          <w:szCs w:val="24"/>
        </w:rPr>
        <w:t xml:space="preserve"> ’12, but that was due to outside forces (the college dropped all students who had not paid fees within 5 days of enrollment).  Additionally online classes went away in 2012-2013, but have already rebounded this semester.</w:t>
      </w:r>
    </w:p>
    <w:p w:rsidR="000F0A5A" w:rsidRDefault="000F0A5A" w:rsidP="00110022">
      <w:pPr>
        <w:pStyle w:val="ListParagraph"/>
        <w:spacing w:after="0" w:line="240" w:lineRule="auto"/>
        <w:ind w:left="1800"/>
        <w:rPr>
          <w:sz w:val="24"/>
          <w:szCs w:val="24"/>
        </w:rPr>
      </w:pPr>
    </w:p>
    <w:p w:rsidR="000F0A5A" w:rsidRDefault="000F0A5A" w:rsidP="00110022">
      <w:pPr>
        <w:pStyle w:val="ListParagraph"/>
        <w:spacing w:after="0" w:line="240" w:lineRule="auto"/>
        <w:ind w:left="1800"/>
        <w:rPr>
          <w:sz w:val="24"/>
          <w:szCs w:val="24"/>
        </w:rPr>
      </w:pPr>
      <w:r>
        <w:rPr>
          <w:sz w:val="24"/>
          <w:szCs w:val="24"/>
        </w:rPr>
        <w:t>Compared to the state averages for the past year, we match up well.  Our retention rates are about .5% below the state average of 86% and our retention rates are about 2% below the state average of 69.9%.</w:t>
      </w:r>
    </w:p>
    <w:p w:rsidR="00492DDA" w:rsidRDefault="00492DDA" w:rsidP="00110022">
      <w:pPr>
        <w:pStyle w:val="ListParagraph"/>
        <w:spacing w:after="0" w:line="240" w:lineRule="auto"/>
        <w:ind w:left="1800"/>
        <w:rPr>
          <w:sz w:val="24"/>
          <w:szCs w:val="24"/>
        </w:rPr>
      </w:pPr>
    </w:p>
    <w:p w:rsidR="00492DDA" w:rsidRDefault="00492DDA"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1C6D9E" w:rsidP="00110022">
      <w:pPr>
        <w:pStyle w:val="ListParagraph"/>
        <w:spacing w:after="0" w:line="240" w:lineRule="auto"/>
        <w:ind w:left="1800"/>
        <w:rPr>
          <w:sz w:val="24"/>
          <w:szCs w:val="24"/>
        </w:rPr>
      </w:pPr>
      <w:r>
        <w:rPr>
          <w:sz w:val="24"/>
          <w:szCs w:val="24"/>
        </w:rPr>
        <w:t xml:space="preserve">Productivity has hovered around </w:t>
      </w:r>
      <w:r w:rsidR="00021238">
        <w:rPr>
          <w:sz w:val="24"/>
          <w:szCs w:val="24"/>
        </w:rPr>
        <w:t>510 for the past three years, with a slight decline from fall 2010 until fall 2012.  However, in spring of 2013 productivity jumped to 556.  Course offerings were streamlined to better match student demand.  Scheduling a year in advance should allow us to continue these gains.</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492DDA" w:rsidP="0023193A">
      <w:pPr>
        <w:pStyle w:val="ListParagraph"/>
        <w:spacing w:after="0" w:line="240" w:lineRule="auto"/>
        <w:ind w:left="1800"/>
        <w:rPr>
          <w:sz w:val="24"/>
          <w:szCs w:val="24"/>
        </w:rPr>
      </w:pPr>
      <w:r>
        <w:rPr>
          <w:noProof/>
        </w:rPr>
        <w:lastRenderedPageBreak/>
        <w:drawing>
          <wp:inline distT="0" distB="0" distL="0" distR="0" wp14:anchorId="2E2F54C9" wp14:editId="38992EAF">
            <wp:extent cx="4772025" cy="2381250"/>
            <wp:effectExtent l="0" t="0" r="952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92DDA" w:rsidRDefault="00492DDA" w:rsidP="0023193A">
      <w:pPr>
        <w:pStyle w:val="ListParagraph"/>
        <w:spacing w:after="0" w:line="240" w:lineRule="auto"/>
        <w:ind w:left="1800"/>
        <w:rPr>
          <w:sz w:val="24"/>
          <w:szCs w:val="24"/>
        </w:rPr>
      </w:pPr>
    </w:p>
    <w:p w:rsidR="00555678" w:rsidRDefault="00492DDA" w:rsidP="00492DDA">
      <w:pPr>
        <w:spacing w:after="0" w:line="240" w:lineRule="auto"/>
        <w:ind w:left="1080" w:firstLine="720"/>
        <w:rPr>
          <w:sz w:val="24"/>
          <w:szCs w:val="24"/>
        </w:rPr>
      </w:pPr>
      <w:r>
        <w:rPr>
          <w:noProof/>
        </w:rPr>
        <w:drawing>
          <wp:inline distT="0" distB="0" distL="0" distR="0" wp14:anchorId="4005E1E1" wp14:editId="600EECC5">
            <wp:extent cx="4924425" cy="238125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1238" w:rsidRDefault="00021238" w:rsidP="00492DDA">
      <w:pPr>
        <w:spacing w:after="0" w:line="240" w:lineRule="auto"/>
        <w:ind w:left="1080" w:firstLine="720"/>
        <w:rPr>
          <w:sz w:val="24"/>
          <w:szCs w:val="24"/>
        </w:rPr>
      </w:pPr>
    </w:p>
    <w:p w:rsidR="00492DDA" w:rsidRDefault="00492DDA" w:rsidP="00274ABD">
      <w:pPr>
        <w:spacing w:after="0" w:line="240" w:lineRule="auto"/>
        <w:ind w:left="1800"/>
        <w:rPr>
          <w:sz w:val="24"/>
          <w:szCs w:val="24"/>
        </w:rPr>
      </w:pPr>
      <w:r>
        <w:rPr>
          <w:sz w:val="24"/>
          <w:szCs w:val="24"/>
        </w:rPr>
        <w:t xml:space="preserve">Both retention and success rates are higher </w:t>
      </w:r>
      <w:r w:rsidR="00274ABD">
        <w:rPr>
          <w:sz w:val="24"/>
          <w:szCs w:val="24"/>
        </w:rPr>
        <w:t xml:space="preserve">in our daytime classes.  However, since we offer many more classes </w:t>
      </w:r>
      <w:r w:rsidR="008A6B55">
        <w:rPr>
          <w:sz w:val="24"/>
          <w:szCs w:val="24"/>
        </w:rPr>
        <w:t>during</w:t>
      </w:r>
      <w:r w:rsidR="00274ABD">
        <w:rPr>
          <w:sz w:val="24"/>
          <w:szCs w:val="24"/>
        </w:rPr>
        <w:t xml:space="preserve"> the day than evening</w:t>
      </w:r>
      <w:r w:rsidR="008A6B55">
        <w:rPr>
          <w:sz w:val="24"/>
          <w:szCs w:val="24"/>
        </w:rPr>
        <w:t>,</w:t>
      </w:r>
      <w:r w:rsidR="00274ABD">
        <w:rPr>
          <w:sz w:val="24"/>
          <w:szCs w:val="24"/>
        </w:rPr>
        <w:t xml:space="preserve"> this may just be statistical noise</w:t>
      </w:r>
      <w:r w:rsidR="00112F90">
        <w:rPr>
          <w:sz w:val="24"/>
          <w:szCs w:val="24"/>
        </w:rPr>
        <w:t xml:space="preserve">.  </w:t>
      </w:r>
      <w:r w:rsidR="008A6B55">
        <w:rPr>
          <w:sz w:val="24"/>
          <w:szCs w:val="24"/>
        </w:rPr>
        <w:t>Additionally, m</w:t>
      </w:r>
      <w:r w:rsidR="00112F90">
        <w:rPr>
          <w:sz w:val="24"/>
          <w:szCs w:val="24"/>
        </w:rPr>
        <w:t>ost of our evening classes are taught by</w:t>
      </w:r>
      <w:r w:rsidR="008A6B55">
        <w:rPr>
          <w:sz w:val="24"/>
          <w:szCs w:val="24"/>
        </w:rPr>
        <w:t xml:space="preserve"> the same full-time faculty as the daytime courses. </w:t>
      </w:r>
      <w:r w:rsidR="00274ABD">
        <w:rPr>
          <w:sz w:val="24"/>
          <w:szCs w:val="24"/>
        </w:rPr>
        <w:t>However, it does warrant further investigating upon our part.</w:t>
      </w:r>
    </w:p>
    <w:p w:rsidR="008A6B55" w:rsidRDefault="008A6B55" w:rsidP="00274ABD">
      <w:pPr>
        <w:spacing w:after="0" w:line="240" w:lineRule="auto"/>
        <w:ind w:left="1800"/>
        <w:rPr>
          <w:sz w:val="24"/>
          <w:szCs w:val="24"/>
        </w:rPr>
      </w:pPr>
    </w:p>
    <w:p w:rsidR="00AC2D84" w:rsidRPr="00555678" w:rsidRDefault="00AC2D84" w:rsidP="00274ABD">
      <w:pPr>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lastRenderedPageBreak/>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906A7C" w:rsidRDefault="00906A7C" w:rsidP="00555678">
      <w:pPr>
        <w:pStyle w:val="ListParagraph"/>
        <w:spacing w:after="0" w:line="240" w:lineRule="auto"/>
        <w:ind w:left="1800"/>
        <w:rPr>
          <w:sz w:val="24"/>
          <w:szCs w:val="24"/>
        </w:rPr>
      </w:pPr>
      <w:r>
        <w:rPr>
          <w:sz w:val="24"/>
          <w:szCs w:val="24"/>
        </w:rPr>
        <w:t>Retention rates range from 76% for African Americans to 92% for White students.  Hispanics averaged 84%.  Given the small number of African American students (21) and White students (120) as compared to Hispanic (3034) students in the program, it is difficult to reach any clear conclusions at this time.</w:t>
      </w:r>
    </w:p>
    <w:p w:rsidR="00555678" w:rsidRDefault="0011602C" w:rsidP="00555678">
      <w:pPr>
        <w:pStyle w:val="ListParagraph"/>
        <w:spacing w:after="0" w:line="240" w:lineRule="auto"/>
        <w:ind w:left="1800"/>
        <w:rPr>
          <w:sz w:val="24"/>
          <w:szCs w:val="24"/>
        </w:rPr>
      </w:pPr>
      <w:r>
        <w:rPr>
          <w:noProof/>
        </w:rPr>
        <w:drawing>
          <wp:inline distT="0" distB="0" distL="0" distR="0" wp14:anchorId="7EC79DE5" wp14:editId="0C4F1961">
            <wp:extent cx="4619625" cy="27432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602C" w:rsidRDefault="0011602C" w:rsidP="00555678">
      <w:pPr>
        <w:pStyle w:val="ListParagraph"/>
        <w:spacing w:after="0" w:line="240" w:lineRule="auto"/>
        <w:ind w:left="1800"/>
        <w:rPr>
          <w:sz w:val="24"/>
          <w:szCs w:val="24"/>
        </w:rPr>
      </w:pPr>
    </w:p>
    <w:p w:rsidR="00555678" w:rsidRDefault="0011602C" w:rsidP="00555678">
      <w:pPr>
        <w:pStyle w:val="ListParagraph"/>
        <w:spacing w:after="0" w:line="240" w:lineRule="auto"/>
        <w:ind w:left="1800"/>
        <w:rPr>
          <w:sz w:val="24"/>
          <w:szCs w:val="24"/>
        </w:rPr>
      </w:pPr>
      <w:r>
        <w:rPr>
          <w:noProof/>
        </w:rPr>
        <w:lastRenderedPageBreak/>
        <w:drawing>
          <wp:inline distT="0" distB="0" distL="0" distR="0" wp14:anchorId="457B215C" wp14:editId="7C283A33">
            <wp:extent cx="4619625" cy="274320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4ABD" w:rsidRDefault="00274ABD" w:rsidP="00555678">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Pr="005817E7" w:rsidRDefault="005817E7" w:rsidP="005817E7">
      <w:pPr>
        <w:spacing w:after="0" w:line="240" w:lineRule="auto"/>
        <w:ind w:left="1800"/>
        <w:rPr>
          <w:sz w:val="24"/>
          <w:szCs w:val="24"/>
        </w:rPr>
      </w:pPr>
      <w:r>
        <w:rPr>
          <w:sz w:val="24"/>
          <w:szCs w:val="24"/>
        </w:rPr>
        <w:t>The number of certificates and degrees in the Business Administration programs has held fairly constant over the last three years.</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555678" w:rsidRDefault="005F333E" w:rsidP="00555678">
      <w:pPr>
        <w:pStyle w:val="ListParagraph"/>
        <w:spacing w:after="0" w:line="240" w:lineRule="auto"/>
        <w:ind w:left="1800"/>
        <w:rPr>
          <w:sz w:val="24"/>
          <w:szCs w:val="24"/>
        </w:rPr>
      </w:pPr>
      <w:r>
        <w:rPr>
          <w:sz w:val="24"/>
          <w:szCs w:val="24"/>
        </w:rPr>
        <w:t>None at this time</w:t>
      </w:r>
    </w:p>
    <w:p w:rsidR="005F333E" w:rsidRDefault="005F333E"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112F90" w:rsidRDefault="00112F90" w:rsidP="00C32B0F">
      <w:pPr>
        <w:spacing w:after="0" w:line="240" w:lineRule="auto"/>
        <w:ind w:left="1440"/>
        <w:rPr>
          <w:sz w:val="24"/>
          <w:szCs w:val="24"/>
        </w:rPr>
      </w:pPr>
      <w:r>
        <w:rPr>
          <w:sz w:val="24"/>
          <w:szCs w:val="24"/>
        </w:rPr>
        <w:t xml:space="preserve">The Business Administration for Transfer degree went active this year (the core classes are the same as IVC’s Business Administration degree, but the electives have been streamlined).  With the transfer degree now available, we decided to eliminate </w:t>
      </w:r>
      <w:r>
        <w:rPr>
          <w:sz w:val="24"/>
          <w:szCs w:val="24"/>
        </w:rPr>
        <w:lastRenderedPageBreak/>
        <w:t>the old Business Administration degree which will be effective 2014-15.</w:t>
      </w:r>
    </w:p>
    <w:p w:rsidR="00112F90" w:rsidRDefault="00112F90" w:rsidP="00C32B0F">
      <w:pPr>
        <w:spacing w:after="0" w:line="240" w:lineRule="auto"/>
        <w:ind w:left="1440"/>
        <w:rPr>
          <w:sz w:val="24"/>
          <w:szCs w:val="24"/>
        </w:rPr>
      </w:pPr>
    </w:p>
    <w:p w:rsidR="00C32B0F" w:rsidRPr="00AE599F" w:rsidRDefault="00112F90" w:rsidP="00C32B0F">
      <w:pPr>
        <w:spacing w:after="0" w:line="240" w:lineRule="auto"/>
        <w:ind w:left="1440"/>
        <w:rPr>
          <w:sz w:val="24"/>
          <w:szCs w:val="24"/>
        </w:rPr>
      </w:pPr>
      <w:r>
        <w:rPr>
          <w:sz w:val="24"/>
          <w:szCs w:val="24"/>
        </w:rPr>
        <w:t xml:space="preserve"> </w:t>
      </w:r>
      <w:r w:rsidR="00274ABD">
        <w:rPr>
          <w:sz w:val="24"/>
          <w:szCs w:val="24"/>
        </w:rPr>
        <w:t>SLO’s for BUS 210 and 220 were rewritten to better align with current course content.</w:t>
      </w:r>
    </w:p>
    <w:p w:rsidR="00C521EC" w:rsidRDefault="00C521EC" w:rsidP="00271A0B">
      <w:pPr>
        <w:spacing w:after="0" w:line="240" w:lineRule="auto"/>
        <w:ind w:left="1440"/>
        <w:rPr>
          <w:sz w:val="24"/>
          <w:szCs w:val="24"/>
        </w:rPr>
      </w:pP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3835E7" w:rsidRPr="00AC2D84" w:rsidRDefault="00ED435D" w:rsidP="006D4F29">
      <w:pPr>
        <w:spacing w:after="0" w:line="240" w:lineRule="auto"/>
        <w:ind w:left="1440"/>
        <w:rPr>
          <w:rFonts w:cs="Arial"/>
          <w:bCs/>
          <w:sz w:val="24"/>
          <w:szCs w:val="24"/>
        </w:rPr>
      </w:pPr>
      <w:r w:rsidRPr="00AC2D84">
        <w:rPr>
          <w:rFonts w:cs="Arial"/>
          <w:bCs/>
          <w:sz w:val="24"/>
          <w:szCs w:val="24"/>
        </w:rPr>
        <w:t>The program is healthy</w:t>
      </w:r>
      <w:r w:rsidR="003835E7" w:rsidRPr="00AC2D84">
        <w:rPr>
          <w:rFonts w:cs="Arial"/>
          <w:bCs/>
          <w:sz w:val="24"/>
          <w:szCs w:val="24"/>
        </w:rPr>
        <w:t xml:space="preserve"> and stable</w:t>
      </w:r>
      <w:r w:rsidRPr="00AC2D84">
        <w:rPr>
          <w:rFonts w:cs="Arial"/>
          <w:bCs/>
          <w:sz w:val="24"/>
          <w:szCs w:val="24"/>
        </w:rPr>
        <w:t xml:space="preserve">.  </w:t>
      </w:r>
      <w:r w:rsidR="002F04D9" w:rsidRPr="00AC2D84">
        <w:rPr>
          <w:rFonts w:cs="Arial"/>
          <w:bCs/>
          <w:sz w:val="24"/>
          <w:szCs w:val="24"/>
        </w:rPr>
        <w:t xml:space="preserve">Productivity has averaged 518 over the past three years and is rising.  </w:t>
      </w:r>
      <w:r w:rsidRPr="00AC2D84">
        <w:rPr>
          <w:rFonts w:cs="Arial"/>
          <w:bCs/>
          <w:sz w:val="24"/>
          <w:szCs w:val="24"/>
        </w:rPr>
        <w:t xml:space="preserve">The major is </w:t>
      </w:r>
      <w:r w:rsidR="00112F90" w:rsidRPr="00AC2D84">
        <w:rPr>
          <w:rFonts w:cs="Arial"/>
          <w:bCs/>
          <w:sz w:val="24"/>
          <w:szCs w:val="24"/>
        </w:rPr>
        <w:t xml:space="preserve">one of </w:t>
      </w:r>
      <w:r w:rsidRPr="00AC2D84">
        <w:rPr>
          <w:rFonts w:cs="Arial"/>
          <w:bCs/>
          <w:sz w:val="24"/>
          <w:szCs w:val="24"/>
        </w:rPr>
        <w:t>the most popular major</w:t>
      </w:r>
      <w:r w:rsidR="00112F90" w:rsidRPr="00AC2D84">
        <w:rPr>
          <w:rFonts w:cs="Arial"/>
          <w:bCs/>
          <w:sz w:val="24"/>
          <w:szCs w:val="24"/>
        </w:rPr>
        <w:t>s</w:t>
      </w:r>
      <w:r w:rsidRPr="00AC2D84">
        <w:rPr>
          <w:rFonts w:cs="Arial"/>
          <w:bCs/>
          <w:sz w:val="24"/>
          <w:szCs w:val="24"/>
        </w:rPr>
        <w:t xml:space="preserve"> on campus.  </w:t>
      </w:r>
      <w:r w:rsidR="003835E7" w:rsidRPr="00AC2D84">
        <w:rPr>
          <w:rFonts w:cs="Arial"/>
          <w:bCs/>
          <w:sz w:val="24"/>
          <w:szCs w:val="24"/>
        </w:rPr>
        <w:t>131</w:t>
      </w:r>
      <w:r w:rsidRPr="00AC2D84">
        <w:rPr>
          <w:rFonts w:cs="Arial"/>
          <w:bCs/>
          <w:sz w:val="24"/>
          <w:szCs w:val="24"/>
        </w:rPr>
        <w:t xml:space="preserve"> degrees were awarded in the period between </w:t>
      </w:r>
      <w:proofErr w:type="gramStart"/>
      <w:r w:rsidRPr="00AC2D84">
        <w:rPr>
          <w:rFonts w:cs="Arial"/>
          <w:bCs/>
          <w:sz w:val="24"/>
          <w:szCs w:val="24"/>
        </w:rPr>
        <w:t>Fall</w:t>
      </w:r>
      <w:proofErr w:type="gramEnd"/>
      <w:r w:rsidRPr="00AC2D84">
        <w:rPr>
          <w:rFonts w:cs="Arial"/>
          <w:bCs/>
          <w:sz w:val="24"/>
          <w:szCs w:val="24"/>
        </w:rPr>
        <w:t xml:space="preserve"> 20</w:t>
      </w:r>
      <w:r w:rsidR="00112F90" w:rsidRPr="00AC2D84">
        <w:rPr>
          <w:rFonts w:cs="Arial"/>
          <w:bCs/>
          <w:sz w:val="24"/>
          <w:szCs w:val="24"/>
        </w:rPr>
        <w:t>10</w:t>
      </w:r>
      <w:r w:rsidRPr="00AC2D84">
        <w:rPr>
          <w:rFonts w:cs="Arial"/>
          <w:bCs/>
          <w:sz w:val="24"/>
          <w:szCs w:val="24"/>
        </w:rPr>
        <w:t xml:space="preserve"> and Spring 201</w:t>
      </w:r>
      <w:r w:rsidR="00112F90" w:rsidRPr="00AC2D84">
        <w:rPr>
          <w:rFonts w:cs="Arial"/>
          <w:bCs/>
          <w:sz w:val="24"/>
          <w:szCs w:val="24"/>
        </w:rPr>
        <w:t>3</w:t>
      </w:r>
      <w:r w:rsidR="003835E7" w:rsidRPr="00AC2D84">
        <w:rPr>
          <w:rFonts w:cs="Arial"/>
          <w:bCs/>
          <w:sz w:val="24"/>
          <w:szCs w:val="24"/>
        </w:rPr>
        <w:t xml:space="preserve"> as well as 9 certificates</w:t>
      </w:r>
      <w:r w:rsidRPr="00AC2D84">
        <w:rPr>
          <w:rFonts w:cs="Arial"/>
          <w:bCs/>
          <w:sz w:val="24"/>
          <w:szCs w:val="24"/>
        </w:rPr>
        <w:t xml:space="preserve">.  The Institutional Researcher also prepared data that shows the success rates and retention rates since </w:t>
      </w:r>
      <w:proofErr w:type="gramStart"/>
      <w:r w:rsidRPr="00AC2D84">
        <w:rPr>
          <w:rFonts w:cs="Arial"/>
          <w:bCs/>
          <w:sz w:val="24"/>
          <w:szCs w:val="24"/>
        </w:rPr>
        <w:t>Fall</w:t>
      </w:r>
      <w:proofErr w:type="gramEnd"/>
      <w:r w:rsidRPr="00AC2D84">
        <w:rPr>
          <w:rFonts w:cs="Arial"/>
          <w:bCs/>
          <w:sz w:val="24"/>
          <w:szCs w:val="24"/>
        </w:rPr>
        <w:t xml:space="preserve"> 20</w:t>
      </w:r>
      <w:r w:rsidR="003835E7" w:rsidRPr="00AC2D84">
        <w:rPr>
          <w:rFonts w:cs="Arial"/>
          <w:bCs/>
          <w:sz w:val="24"/>
          <w:szCs w:val="24"/>
        </w:rPr>
        <w:t>1</w:t>
      </w:r>
      <w:r w:rsidR="002F04D9" w:rsidRPr="00AC2D84">
        <w:rPr>
          <w:rFonts w:cs="Arial"/>
          <w:bCs/>
          <w:sz w:val="24"/>
          <w:szCs w:val="24"/>
        </w:rPr>
        <w:t>1</w:t>
      </w:r>
      <w:r w:rsidRPr="00AC2D84">
        <w:rPr>
          <w:rFonts w:cs="Arial"/>
          <w:bCs/>
          <w:sz w:val="24"/>
          <w:szCs w:val="24"/>
        </w:rPr>
        <w:t xml:space="preserve"> have been consistent. </w:t>
      </w:r>
      <w:r w:rsidR="002F04D9" w:rsidRPr="00AC2D84">
        <w:rPr>
          <w:rFonts w:cs="Arial"/>
          <w:bCs/>
          <w:sz w:val="24"/>
          <w:szCs w:val="24"/>
        </w:rPr>
        <w:t xml:space="preserve"> F</w:t>
      </w:r>
      <w:r w:rsidRPr="00AC2D84">
        <w:rPr>
          <w:rFonts w:cs="Arial"/>
          <w:bCs/>
          <w:sz w:val="24"/>
          <w:szCs w:val="24"/>
        </w:rPr>
        <w:t>ill rates remain high (average in required classes is 8</w:t>
      </w:r>
      <w:r w:rsidR="007E2283" w:rsidRPr="00AC2D84">
        <w:rPr>
          <w:rFonts w:cs="Arial"/>
          <w:bCs/>
          <w:sz w:val="24"/>
          <w:szCs w:val="24"/>
        </w:rPr>
        <w:t>8</w:t>
      </w:r>
      <w:r w:rsidRPr="00AC2D84">
        <w:rPr>
          <w:rFonts w:cs="Arial"/>
          <w:bCs/>
          <w:sz w:val="24"/>
          <w:szCs w:val="24"/>
        </w:rPr>
        <w:t>%)</w:t>
      </w:r>
      <w:r w:rsidR="002F04D9" w:rsidRPr="00AC2D84">
        <w:rPr>
          <w:rFonts w:cs="Arial"/>
          <w:bCs/>
          <w:sz w:val="24"/>
          <w:szCs w:val="24"/>
        </w:rPr>
        <w:t xml:space="preserve"> as well</w:t>
      </w:r>
      <w:r w:rsidRPr="00AC2D84">
        <w:rPr>
          <w:rFonts w:cs="Arial"/>
          <w:bCs/>
          <w:sz w:val="24"/>
          <w:szCs w:val="24"/>
        </w:rPr>
        <w:t xml:space="preserve">.  Completion and success rates have moved up and down within a fairly steady range for the past three years; Average completion rate in the </w:t>
      </w:r>
      <w:r w:rsidR="007E2283" w:rsidRPr="00AC2D84">
        <w:rPr>
          <w:rFonts w:cs="Arial"/>
          <w:bCs/>
          <w:sz w:val="24"/>
          <w:szCs w:val="24"/>
        </w:rPr>
        <w:t>core</w:t>
      </w:r>
      <w:r w:rsidRPr="00AC2D84">
        <w:rPr>
          <w:rFonts w:cs="Arial"/>
          <w:bCs/>
          <w:sz w:val="24"/>
          <w:szCs w:val="24"/>
        </w:rPr>
        <w:t xml:space="preserve"> classes is </w:t>
      </w:r>
      <w:r w:rsidR="007E2283" w:rsidRPr="00AC2D84">
        <w:rPr>
          <w:rFonts w:cs="Arial"/>
          <w:bCs/>
          <w:sz w:val="24"/>
          <w:szCs w:val="24"/>
        </w:rPr>
        <w:t>84</w:t>
      </w:r>
      <w:r w:rsidRPr="00AC2D84">
        <w:rPr>
          <w:rFonts w:cs="Arial"/>
          <w:bCs/>
          <w:sz w:val="24"/>
          <w:szCs w:val="24"/>
        </w:rPr>
        <w:t xml:space="preserve">%, while the average success rate has been </w:t>
      </w:r>
      <w:r w:rsidR="007E2283" w:rsidRPr="00AC2D84">
        <w:rPr>
          <w:rFonts w:cs="Arial"/>
          <w:bCs/>
          <w:sz w:val="24"/>
          <w:szCs w:val="24"/>
        </w:rPr>
        <w:t>64% (rising to 66.5% for the last year).</w:t>
      </w:r>
      <w:r w:rsidRPr="00AC2D84">
        <w:rPr>
          <w:rFonts w:cs="Arial"/>
          <w:bCs/>
          <w:sz w:val="24"/>
          <w:szCs w:val="24"/>
        </w:rPr>
        <w:t xml:space="preserve"> </w:t>
      </w:r>
    </w:p>
    <w:p w:rsidR="003835E7" w:rsidRDefault="00AE5C40" w:rsidP="006D4F29">
      <w:pPr>
        <w:spacing w:after="0" w:line="240" w:lineRule="auto"/>
        <w:ind w:left="1440"/>
        <w:rPr>
          <w:sz w:val="24"/>
          <w:szCs w:val="24"/>
        </w:rPr>
      </w:pPr>
      <w:r>
        <w:rPr>
          <w:sz w:val="24"/>
          <w:szCs w:val="24"/>
        </w:rPr>
        <w:br w:type="page"/>
      </w:r>
    </w:p>
    <w:tbl>
      <w:tblPr>
        <w:tblStyle w:val="TableGrid"/>
        <w:tblW w:w="0" w:type="auto"/>
        <w:jc w:val="center"/>
        <w:tblInd w:w="198" w:type="dxa"/>
        <w:tblLook w:val="04A0" w:firstRow="1" w:lastRow="0" w:firstColumn="1" w:lastColumn="0" w:noHBand="0" w:noVBand="1"/>
      </w:tblPr>
      <w:tblGrid>
        <w:gridCol w:w="3616"/>
        <w:gridCol w:w="990"/>
        <w:gridCol w:w="1170"/>
        <w:gridCol w:w="990"/>
        <w:gridCol w:w="2446"/>
      </w:tblGrid>
      <w:tr w:rsidR="003835E7" w:rsidTr="001C6D9E">
        <w:trPr>
          <w:trHeight w:val="593"/>
          <w:jc w:val="center"/>
        </w:trPr>
        <w:tc>
          <w:tcPr>
            <w:tcW w:w="3616" w:type="dxa"/>
            <w:vAlign w:val="center"/>
          </w:tcPr>
          <w:p w:rsidR="003835E7" w:rsidRPr="005E7A96" w:rsidRDefault="00AF1334" w:rsidP="001C6D9E">
            <w:pPr>
              <w:autoSpaceDE w:val="0"/>
              <w:autoSpaceDN w:val="0"/>
              <w:adjustRightInd w:val="0"/>
              <w:jc w:val="center"/>
              <w:rPr>
                <w:rFonts w:ascii="Arial" w:hAnsi="Arial" w:cs="Arial"/>
                <w:b/>
                <w:sz w:val="20"/>
                <w:szCs w:val="20"/>
              </w:rPr>
            </w:pPr>
            <w:r>
              <w:rPr>
                <w:rFonts w:ascii="Arial" w:hAnsi="Arial" w:cs="Arial"/>
                <w:b/>
                <w:sz w:val="20"/>
                <w:szCs w:val="20"/>
              </w:rPr>
              <w:lastRenderedPageBreak/>
              <w:t xml:space="preserve">BUS ADMIN </w:t>
            </w:r>
            <w:r w:rsidR="003835E7" w:rsidRPr="005E7A96">
              <w:rPr>
                <w:rFonts w:ascii="Arial" w:hAnsi="Arial" w:cs="Arial"/>
                <w:b/>
                <w:sz w:val="20"/>
                <w:szCs w:val="20"/>
              </w:rPr>
              <w:t>Occupation</w:t>
            </w:r>
            <w:r>
              <w:rPr>
                <w:rFonts w:ascii="Arial" w:hAnsi="Arial" w:cs="Arial"/>
                <w:b/>
                <w:sz w:val="20"/>
                <w:szCs w:val="20"/>
              </w:rPr>
              <w:t>s</w:t>
            </w:r>
          </w:p>
        </w:tc>
        <w:tc>
          <w:tcPr>
            <w:tcW w:w="990" w:type="dxa"/>
            <w:vAlign w:val="center"/>
          </w:tcPr>
          <w:p w:rsidR="003835E7" w:rsidRPr="005E7A96" w:rsidRDefault="003835E7" w:rsidP="001C6D9E">
            <w:pPr>
              <w:autoSpaceDE w:val="0"/>
              <w:autoSpaceDN w:val="0"/>
              <w:adjustRightInd w:val="0"/>
              <w:jc w:val="center"/>
              <w:rPr>
                <w:rFonts w:ascii="Arial" w:hAnsi="Arial" w:cs="Arial"/>
                <w:b/>
                <w:sz w:val="20"/>
                <w:szCs w:val="20"/>
              </w:rPr>
            </w:pPr>
            <w:r w:rsidRPr="005E7A96">
              <w:rPr>
                <w:rFonts w:ascii="Arial" w:hAnsi="Arial" w:cs="Arial"/>
                <w:b/>
                <w:sz w:val="20"/>
                <w:szCs w:val="20"/>
              </w:rPr>
              <w:t>TOP Code</w:t>
            </w:r>
          </w:p>
        </w:tc>
        <w:tc>
          <w:tcPr>
            <w:tcW w:w="1170" w:type="dxa"/>
            <w:vAlign w:val="center"/>
          </w:tcPr>
          <w:p w:rsidR="003835E7" w:rsidRPr="005E7A96" w:rsidRDefault="003835E7" w:rsidP="001C6D9E">
            <w:pPr>
              <w:autoSpaceDE w:val="0"/>
              <w:autoSpaceDN w:val="0"/>
              <w:adjustRightInd w:val="0"/>
              <w:jc w:val="center"/>
              <w:rPr>
                <w:rFonts w:ascii="Arial" w:hAnsi="Arial" w:cs="Arial"/>
                <w:b/>
                <w:sz w:val="20"/>
                <w:szCs w:val="20"/>
              </w:rPr>
            </w:pPr>
            <w:r w:rsidRPr="005E7A96">
              <w:rPr>
                <w:rFonts w:ascii="Arial" w:hAnsi="Arial" w:cs="Arial"/>
                <w:b/>
                <w:sz w:val="20"/>
                <w:szCs w:val="20"/>
              </w:rPr>
              <w:t>SOC Code</w:t>
            </w:r>
          </w:p>
        </w:tc>
        <w:tc>
          <w:tcPr>
            <w:tcW w:w="990" w:type="dxa"/>
            <w:vAlign w:val="center"/>
          </w:tcPr>
          <w:p w:rsidR="003835E7" w:rsidRPr="005E7A96" w:rsidRDefault="003835E7" w:rsidP="001C6D9E">
            <w:pPr>
              <w:autoSpaceDE w:val="0"/>
              <w:autoSpaceDN w:val="0"/>
              <w:adjustRightInd w:val="0"/>
              <w:jc w:val="center"/>
              <w:rPr>
                <w:rFonts w:ascii="Arial" w:hAnsi="Arial" w:cs="Arial"/>
                <w:b/>
                <w:sz w:val="20"/>
                <w:szCs w:val="20"/>
              </w:rPr>
            </w:pPr>
            <w:r w:rsidRPr="005E7A96">
              <w:rPr>
                <w:rFonts w:ascii="Arial" w:hAnsi="Arial" w:cs="Arial"/>
                <w:b/>
                <w:sz w:val="20"/>
                <w:szCs w:val="20"/>
              </w:rPr>
              <w:t>2008</w:t>
            </w:r>
          </w:p>
        </w:tc>
        <w:tc>
          <w:tcPr>
            <w:tcW w:w="2446" w:type="dxa"/>
            <w:vAlign w:val="center"/>
          </w:tcPr>
          <w:p w:rsidR="003835E7" w:rsidRPr="005E7A96" w:rsidRDefault="003835E7" w:rsidP="001C6D9E">
            <w:pPr>
              <w:autoSpaceDE w:val="0"/>
              <w:autoSpaceDN w:val="0"/>
              <w:adjustRightInd w:val="0"/>
              <w:jc w:val="center"/>
              <w:rPr>
                <w:rFonts w:ascii="Arial" w:hAnsi="Arial" w:cs="Arial"/>
                <w:b/>
                <w:sz w:val="20"/>
                <w:szCs w:val="20"/>
              </w:rPr>
            </w:pPr>
            <w:r>
              <w:rPr>
                <w:rFonts w:ascii="Arial" w:hAnsi="Arial" w:cs="Arial"/>
                <w:b/>
                <w:sz w:val="20"/>
                <w:szCs w:val="20"/>
              </w:rPr>
              <w:t>Average Job Openings per Year</w:t>
            </w:r>
          </w:p>
        </w:tc>
      </w:tr>
      <w:tr w:rsidR="003835E7" w:rsidTr="001C6D9E">
        <w:trPr>
          <w:trHeight w:val="350"/>
          <w:jc w:val="center"/>
        </w:trPr>
        <w:tc>
          <w:tcPr>
            <w:tcW w:w="3616" w:type="dxa"/>
            <w:vAlign w:val="center"/>
          </w:tcPr>
          <w:p w:rsidR="003835E7" w:rsidRPr="00B06211" w:rsidRDefault="003835E7" w:rsidP="001C6D9E">
            <w:pPr>
              <w:autoSpaceDE w:val="0"/>
              <w:autoSpaceDN w:val="0"/>
              <w:adjustRightInd w:val="0"/>
              <w:rPr>
                <w:rFonts w:ascii="Arial" w:hAnsi="Arial" w:cs="Arial"/>
                <w:sz w:val="20"/>
                <w:szCs w:val="20"/>
              </w:rPr>
            </w:pPr>
            <w:r>
              <w:rPr>
                <w:rFonts w:ascii="Arial" w:hAnsi="Arial" w:cs="Arial"/>
                <w:sz w:val="20"/>
                <w:szCs w:val="20"/>
              </w:rPr>
              <w:t>Administrative Services Managers</w:t>
            </w:r>
          </w:p>
        </w:tc>
        <w:tc>
          <w:tcPr>
            <w:tcW w:w="990" w:type="dxa"/>
            <w:vAlign w:val="center"/>
          </w:tcPr>
          <w:p w:rsidR="003835E7" w:rsidRPr="005E7A96"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Pr="005E7A96"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113011</w:t>
            </w:r>
          </w:p>
        </w:tc>
        <w:tc>
          <w:tcPr>
            <w:tcW w:w="990" w:type="dxa"/>
            <w:vAlign w:val="center"/>
          </w:tcPr>
          <w:p w:rsidR="003835E7" w:rsidRPr="005E7A96" w:rsidRDefault="003835E7" w:rsidP="001C6D9E">
            <w:pPr>
              <w:autoSpaceDE w:val="0"/>
              <w:autoSpaceDN w:val="0"/>
              <w:adjustRightInd w:val="0"/>
              <w:jc w:val="center"/>
              <w:rPr>
                <w:rFonts w:ascii="Arial" w:hAnsi="Arial" w:cs="Arial"/>
                <w:sz w:val="20"/>
                <w:szCs w:val="20"/>
              </w:rPr>
            </w:pPr>
            <w:r>
              <w:rPr>
                <w:rFonts w:ascii="Arial" w:hAnsi="Arial" w:cs="Arial"/>
                <w:sz w:val="20"/>
                <w:szCs w:val="20"/>
              </w:rPr>
              <w:t>60</w:t>
            </w:r>
          </w:p>
        </w:tc>
        <w:tc>
          <w:tcPr>
            <w:tcW w:w="2446" w:type="dxa"/>
            <w:vAlign w:val="center"/>
          </w:tcPr>
          <w:p w:rsidR="003835E7" w:rsidRPr="005E7A96" w:rsidRDefault="003835E7" w:rsidP="001C6D9E">
            <w:pPr>
              <w:autoSpaceDE w:val="0"/>
              <w:autoSpaceDN w:val="0"/>
              <w:adjustRightInd w:val="0"/>
              <w:jc w:val="center"/>
              <w:rPr>
                <w:rFonts w:ascii="Arial" w:hAnsi="Arial" w:cs="Arial"/>
                <w:sz w:val="20"/>
                <w:szCs w:val="20"/>
              </w:rPr>
            </w:pPr>
            <w:r>
              <w:rPr>
                <w:rFonts w:ascii="Arial" w:hAnsi="Arial" w:cs="Arial"/>
                <w:sz w:val="20"/>
                <w:szCs w:val="20"/>
              </w:rPr>
              <w:t>2</w:t>
            </w:r>
          </w:p>
        </w:tc>
      </w:tr>
      <w:tr w:rsidR="003835E7" w:rsidTr="001C6D9E">
        <w:trPr>
          <w:trHeight w:val="332"/>
          <w:jc w:val="center"/>
        </w:trPr>
        <w:tc>
          <w:tcPr>
            <w:tcW w:w="3616" w:type="dxa"/>
            <w:vAlign w:val="center"/>
          </w:tcPr>
          <w:p w:rsidR="003835E7" w:rsidRPr="00B06211" w:rsidRDefault="003835E7" w:rsidP="001C6D9E">
            <w:pPr>
              <w:autoSpaceDE w:val="0"/>
              <w:autoSpaceDN w:val="0"/>
              <w:adjustRightInd w:val="0"/>
              <w:rPr>
                <w:rFonts w:ascii="Arial" w:hAnsi="Arial" w:cs="Arial"/>
                <w:sz w:val="20"/>
                <w:szCs w:val="20"/>
              </w:rPr>
            </w:pPr>
            <w:r>
              <w:rPr>
                <w:rFonts w:ascii="Arial" w:hAnsi="Arial" w:cs="Arial"/>
                <w:sz w:val="20"/>
                <w:szCs w:val="20"/>
              </w:rPr>
              <w:t>Chief Executives</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111011</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90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2</w:t>
            </w:r>
          </w:p>
        </w:tc>
      </w:tr>
      <w:tr w:rsidR="003835E7" w:rsidTr="001C6D9E">
        <w:trPr>
          <w:trHeight w:val="332"/>
          <w:jc w:val="center"/>
        </w:trPr>
        <w:tc>
          <w:tcPr>
            <w:tcW w:w="3616" w:type="dxa"/>
            <w:vAlign w:val="center"/>
          </w:tcPr>
          <w:p w:rsidR="003835E7" w:rsidRPr="00B06211" w:rsidRDefault="003835E7" w:rsidP="001C6D9E">
            <w:pPr>
              <w:autoSpaceDE w:val="0"/>
              <w:autoSpaceDN w:val="0"/>
              <w:adjustRightInd w:val="0"/>
              <w:rPr>
                <w:rFonts w:ascii="Arial" w:hAnsi="Arial" w:cs="Arial"/>
                <w:sz w:val="20"/>
                <w:szCs w:val="20"/>
              </w:rPr>
            </w:pPr>
            <w:r>
              <w:rPr>
                <w:rFonts w:ascii="Arial" w:hAnsi="Arial" w:cs="Arial"/>
                <w:sz w:val="20"/>
                <w:szCs w:val="20"/>
              </w:rPr>
              <w:t>Construction Managers</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Pr="005E7A96"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119021</w:t>
            </w:r>
          </w:p>
        </w:tc>
        <w:tc>
          <w:tcPr>
            <w:tcW w:w="990" w:type="dxa"/>
            <w:vAlign w:val="center"/>
          </w:tcPr>
          <w:p w:rsidR="003835E7" w:rsidRPr="005E7A96" w:rsidRDefault="003835E7" w:rsidP="001C6D9E">
            <w:pPr>
              <w:autoSpaceDE w:val="0"/>
              <w:autoSpaceDN w:val="0"/>
              <w:adjustRightInd w:val="0"/>
              <w:jc w:val="center"/>
              <w:rPr>
                <w:rFonts w:ascii="Arial" w:hAnsi="Arial" w:cs="Arial"/>
                <w:sz w:val="20"/>
                <w:szCs w:val="20"/>
              </w:rPr>
            </w:pPr>
            <w:r>
              <w:rPr>
                <w:rFonts w:ascii="Arial" w:hAnsi="Arial" w:cs="Arial"/>
                <w:sz w:val="20"/>
                <w:szCs w:val="20"/>
              </w:rPr>
              <w:t>100</w:t>
            </w:r>
          </w:p>
        </w:tc>
        <w:tc>
          <w:tcPr>
            <w:tcW w:w="2446" w:type="dxa"/>
            <w:vAlign w:val="center"/>
          </w:tcPr>
          <w:p w:rsidR="003835E7" w:rsidRPr="005E7A96" w:rsidRDefault="003835E7" w:rsidP="001C6D9E">
            <w:pPr>
              <w:autoSpaceDE w:val="0"/>
              <w:autoSpaceDN w:val="0"/>
              <w:adjustRightInd w:val="0"/>
              <w:jc w:val="center"/>
              <w:rPr>
                <w:rFonts w:ascii="Arial" w:hAnsi="Arial" w:cs="Arial"/>
                <w:sz w:val="20"/>
                <w:szCs w:val="20"/>
              </w:rPr>
            </w:pPr>
            <w:r>
              <w:rPr>
                <w:rFonts w:ascii="Arial" w:hAnsi="Arial" w:cs="Arial"/>
                <w:sz w:val="20"/>
                <w:szCs w:val="20"/>
              </w:rPr>
              <w:t>1</w:t>
            </w:r>
          </w:p>
        </w:tc>
      </w:tr>
      <w:tr w:rsidR="003835E7" w:rsidTr="00AF1334">
        <w:trPr>
          <w:trHeight w:val="323"/>
          <w:jc w:val="center"/>
        </w:trPr>
        <w:tc>
          <w:tcPr>
            <w:tcW w:w="3616" w:type="dxa"/>
            <w:vAlign w:val="center"/>
          </w:tcPr>
          <w:p w:rsidR="003835E7" w:rsidRPr="00B06211" w:rsidRDefault="003835E7" w:rsidP="001C6D9E">
            <w:pPr>
              <w:autoSpaceDE w:val="0"/>
              <w:autoSpaceDN w:val="0"/>
              <w:adjustRightInd w:val="0"/>
              <w:rPr>
                <w:rFonts w:ascii="Arial" w:hAnsi="Arial" w:cs="Arial"/>
                <w:sz w:val="20"/>
                <w:szCs w:val="20"/>
              </w:rPr>
            </w:pPr>
            <w:r>
              <w:rPr>
                <w:rFonts w:ascii="Arial" w:hAnsi="Arial" w:cs="Arial"/>
                <w:sz w:val="20"/>
                <w:szCs w:val="20"/>
              </w:rPr>
              <w:t>Cost Estimators</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131051</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40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2</w:t>
            </w:r>
          </w:p>
        </w:tc>
      </w:tr>
      <w:tr w:rsidR="003835E7" w:rsidTr="001C6D9E">
        <w:trPr>
          <w:trHeight w:val="332"/>
          <w:jc w:val="center"/>
        </w:trPr>
        <w:tc>
          <w:tcPr>
            <w:tcW w:w="3616" w:type="dxa"/>
            <w:vAlign w:val="center"/>
          </w:tcPr>
          <w:p w:rsidR="003835E7" w:rsidRPr="00B06211" w:rsidRDefault="003835E7" w:rsidP="001C6D9E">
            <w:pPr>
              <w:autoSpaceDE w:val="0"/>
              <w:autoSpaceDN w:val="0"/>
              <w:adjustRightInd w:val="0"/>
              <w:rPr>
                <w:rFonts w:ascii="Arial" w:hAnsi="Arial" w:cs="Arial"/>
                <w:sz w:val="20"/>
                <w:szCs w:val="20"/>
              </w:rPr>
            </w:pPr>
            <w:r>
              <w:rPr>
                <w:rFonts w:ascii="Arial" w:hAnsi="Arial" w:cs="Arial"/>
                <w:sz w:val="20"/>
                <w:szCs w:val="20"/>
              </w:rPr>
              <w:t>General and Operations Managers</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111021</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670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19</w:t>
            </w:r>
          </w:p>
        </w:tc>
      </w:tr>
      <w:tr w:rsidR="003835E7" w:rsidTr="001C6D9E">
        <w:trPr>
          <w:trHeight w:val="377"/>
          <w:jc w:val="center"/>
        </w:trPr>
        <w:tc>
          <w:tcPr>
            <w:tcW w:w="3616" w:type="dxa"/>
            <w:vAlign w:val="center"/>
          </w:tcPr>
          <w:p w:rsidR="003835E7" w:rsidRPr="00B06211" w:rsidRDefault="003835E7" w:rsidP="001C6D9E">
            <w:pPr>
              <w:autoSpaceDE w:val="0"/>
              <w:autoSpaceDN w:val="0"/>
              <w:adjustRightInd w:val="0"/>
              <w:rPr>
                <w:rFonts w:ascii="Arial" w:hAnsi="Arial" w:cs="Arial"/>
                <w:sz w:val="20"/>
                <w:szCs w:val="20"/>
              </w:rPr>
            </w:pPr>
            <w:r>
              <w:rPr>
                <w:rFonts w:ascii="Arial" w:hAnsi="Arial" w:cs="Arial"/>
                <w:sz w:val="20"/>
                <w:szCs w:val="20"/>
              </w:rPr>
              <w:t>Management Analysts</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131111</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160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4</w:t>
            </w:r>
          </w:p>
        </w:tc>
      </w:tr>
      <w:tr w:rsidR="003835E7" w:rsidTr="001C6D9E">
        <w:trPr>
          <w:trHeight w:val="377"/>
          <w:jc w:val="center"/>
        </w:trPr>
        <w:tc>
          <w:tcPr>
            <w:tcW w:w="3616" w:type="dxa"/>
            <w:vAlign w:val="center"/>
          </w:tcPr>
          <w:p w:rsidR="003835E7" w:rsidRDefault="003835E7" w:rsidP="001C6D9E">
            <w:pPr>
              <w:autoSpaceDE w:val="0"/>
              <w:autoSpaceDN w:val="0"/>
              <w:adjustRightInd w:val="0"/>
              <w:rPr>
                <w:rFonts w:ascii="Arial" w:hAnsi="Arial" w:cs="Arial"/>
                <w:sz w:val="20"/>
                <w:szCs w:val="20"/>
              </w:rPr>
            </w:pPr>
            <w:r>
              <w:rPr>
                <w:rFonts w:ascii="Arial" w:hAnsi="Arial" w:cs="Arial"/>
                <w:sz w:val="20"/>
                <w:szCs w:val="20"/>
              </w:rPr>
              <w:t>Managers, All Other</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119199</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270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7</w:t>
            </w:r>
          </w:p>
        </w:tc>
      </w:tr>
      <w:tr w:rsidR="003835E7" w:rsidTr="001C6D9E">
        <w:trPr>
          <w:trHeight w:val="377"/>
          <w:jc w:val="center"/>
        </w:trPr>
        <w:tc>
          <w:tcPr>
            <w:tcW w:w="3616" w:type="dxa"/>
            <w:vAlign w:val="center"/>
          </w:tcPr>
          <w:p w:rsidR="003835E7" w:rsidRDefault="003835E7" w:rsidP="001C6D9E">
            <w:pPr>
              <w:autoSpaceDE w:val="0"/>
              <w:autoSpaceDN w:val="0"/>
              <w:adjustRightInd w:val="0"/>
              <w:rPr>
                <w:rFonts w:ascii="Arial" w:hAnsi="Arial" w:cs="Arial"/>
                <w:sz w:val="20"/>
                <w:szCs w:val="20"/>
              </w:rPr>
            </w:pPr>
            <w:r>
              <w:rPr>
                <w:rFonts w:ascii="Arial" w:hAnsi="Arial" w:cs="Arial"/>
                <w:sz w:val="20"/>
                <w:szCs w:val="20"/>
              </w:rPr>
              <w:t xml:space="preserve">Sales Managers </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112022</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150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5</w:t>
            </w:r>
          </w:p>
        </w:tc>
      </w:tr>
      <w:tr w:rsidR="003835E7" w:rsidTr="001C6D9E">
        <w:trPr>
          <w:trHeight w:val="377"/>
          <w:jc w:val="center"/>
        </w:trPr>
        <w:tc>
          <w:tcPr>
            <w:tcW w:w="3616" w:type="dxa"/>
            <w:vAlign w:val="center"/>
          </w:tcPr>
          <w:p w:rsidR="003835E7" w:rsidRDefault="003835E7" w:rsidP="001C6D9E">
            <w:pPr>
              <w:autoSpaceDE w:val="0"/>
              <w:autoSpaceDN w:val="0"/>
              <w:adjustRightInd w:val="0"/>
              <w:rPr>
                <w:rFonts w:ascii="Arial" w:hAnsi="Arial" w:cs="Arial"/>
                <w:sz w:val="20"/>
                <w:szCs w:val="20"/>
              </w:rPr>
            </w:pPr>
            <w:r>
              <w:rPr>
                <w:rFonts w:ascii="Arial" w:hAnsi="Arial" w:cs="Arial"/>
                <w:sz w:val="20"/>
                <w:szCs w:val="20"/>
              </w:rPr>
              <w:t>Social and Community Service Managers</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119151</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40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w:t>
            </w:r>
          </w:p>
        </w:tc>
      </w:tr>
      <w:tr w:rsidR="003835E7" w:rsidTr="001C6D9E">
        <w:trPr>
          <w:trHeight w:val="377"/>
          <w:jc w:val="center"/>
        </w:trPr>
        <w:tc>
          <w:tcPr>
            <w:tcW w:w="3616" w:type="dxa"/>
            <w:vAlign w:val="center"/>
          </w:tcPr>
          <w:p w:rsidR="003835E7" w:rsidRDefault="003835E7" w:rsidP="001C6D9E">
            <w:pPr>
              <w:autoSpaceDE w:val="0"/>
              <w:autoSpaceDN w:val="0"/>
              <w:adjustRightInd w:val="0"/>
              <w:rPr>
                <w:rFonts w:ascii="Arial" w:hAnsi="Arial" w:cs="Arial"/>
                <w:sz w:val="20"/>
                <w:szCs w:val="20"/>
              </w:rPr>
            </w:pPr>
            <w:r>
              <w:rPr>
                <w:rFonts w:ascii="Arial" w:hAnsi="Arial" w:cs="Arial"/>
                <w:sz w:val="20"/>
                <w:szCs w:val="20"/>
              </w:rPr>
              <w:t>Transportation, Storage, and Distribution Managers</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0505.00</w:t>
            </w:r>
          </w:p>
        </w:tc>
        <w:tc>
          <w:tcPr>
            <w:tcW w:w="117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113071</w:t>
            </w:r>
          </w:p>
        </w:tc>
        <w:tc>
          <w:tcPr>
            <w:tcW w:w="990"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40</w:t>
            </w:r>
          </w:p>
        </w:tc>
        <w:tc>
          <w:tcPr>
            <w:tcW w:w="2446" w:type="dxa"/>
            <w:vAlign w:val="center"/>
          </w:tcPr>
          <w:p w:rsidR="003835E7" w:rsidRDefault="003835E7" w:rsidP="001C6D9E">
            <w:pPr>
              <w:autoSpaceDE w:val="0"/>
              <w:autoSpaceDN w:val="0"/>
              <w:adjustRightInd w:val="0"/>
              <w:jc w:val="center"/>
              <w:rPr>
                <w:rFonts w:ascii="Arial" w:hAnsi="Arial" w:cs="Arial"/>
                <w:sz w:val="20"/>
                <w:szCs w:val="20"/>
              </w:rPr>
            </w:pPr>
            <w:r>
              <w:rPr>
                <w:rFonts w:ascii="Arial" w:hAnsi="Arial" w:cs="Arial"/>
                <w:sz w:val="20"/>
                <w:szCs w:val="20"/>
              </w:rPr>
              <w:t>1</w:t>
            </w:r>
          </w:p>
        </w:tc>
      </w:tr>
      <w:tr w:rsidR="0044785F" w:rsidTr="008E6870">
        <w:trPr>
          <w:trHeight w:val="377"/>
          <w:jc w:val="center"/>
        </w:trPr>
        <w:tc>
          <w:tcPr>
            <w:tcW w:w="3616" w:type="dxa"/>
          </w:tcPr>
          <w:p w:rsidR="0044785F" w:rsidRPr="00BE65E2" w:rsidRDefault="0044785F" w:rsidP="008E6870">
            <w:r w:rsidRPr="00BE65E2">
              <w:t>Bill and Account Collectors</w:t>
            </w:r>
          </w:p>
        </w:tc>
        <w:tc>
          <w:tcPr>
            <w:tcW w:w="990" w:type="dxa"/>
          </w:tcPr>
          <w:p w:rsidR="0044785F" w:rsidRPr="00BE65E2" w:rsidRDefault="0044785F" w:rsidP="0044785F">
            <w:pPr>
              <w:jc w:val="center"/>
            </w:pPr>
            <w:r w:rsidRPr="00BE65E2">
              <w:t>0504.00</w:t>
            </w:r>
          </w:p>
        </w:tc>
        <w:tc>
          <w:tcPr>
            <w:tcW w:w="1170" w:type="dxa"/>
          </w:tcPr>
          <w:p w:rsidR="0044785F" w:rsidRPr="00BE65E2" w:rsidRDefault="0044785F" w:rsidP="0044785F">
            <w:pPr>
              <w:jc w:val="center"/>
            </w:pPr>
            <w:r w:rsidRPr="00BE65E2">
              <w:t>433011</w:t>
            </w:r>
          </w:p>
        </w:tc>
        <w:tc>
          <w:tcPr>
            <w:tcW w:w="990" w:type="dxa"/>
          </w:tcPr>
          <w:p w:rsidR="0044785F" w:rsidRPr="00BE65E2" w:rsidRDefault="0044785F" w:rsidP="0044785F">
            <w:pPr>
              <w:jc w:val="center"/>
            </w:pPr>
            <w:r w:rsidRPr="00BE65E2">
              <w:t>90</w:t>
            </w:r>
          </w:p>
        </w:tc>
        <w:tc>
          <w:tcPr>
            <w:tcW w:w="2446" w:type="dxa"/>
          </w:tcPr>
          <w:p w:rsidR="0044785F" w:rsidRPr="00BE65E2" w:rsidRDefault="0044785F" w:rsidP="0044785F">
            <w:pPr>
              <w:jc w:val="center"/>
            </w:pPr>
            <w:r w:rsidRPr="00BE65E2">
              <w:t>4</w:t>
            </w:r>
          </w:p>
        </w:tc>
      </w:tr>
      <w:tr w:rsidR="0044785F" w:rsidTr="008E6870">
        <w:trPr>
          <w:trHeight w:val="377"/>
          <w:jc w:val="center"/>
        </w:trPr>
        <w:tc>
          <w:tcPr>
            <w:tcW w:w="3616" w:type="dxa"/>
          </w:tcPr>
          <w:p w:rsidR="0044785F" w:rsidRPr="00BE65E2" w:rsidRDefault="0044785F" w:rsidP="008E6870">
            <w:r w:rsidRPr="00BE65E2">
              <w:t>Loan Interviewers and Clerks</w:t>
            </w:r>
          </w:p>
        </w:tc>
        <w:tc>
          <w:tcPr>
            <w:tcW w:w="990" w:type="dxa"/>
          </w:tcPr>
          <w:p w:rsidR="0044785F" w:rsidRPr="00BE65E2" w:rsidRDefault="0044785F" w:rsidP="0044785F">
            <w:pPr>
              <w:jc w:val="center"/>
            </w:pPr>
            <w:r w:rsidRPr="00BE65E2">
              <w:t>0504.00</w:t>
            </w:r>
          </w:p>
        </w:tc>
        <w:tc>
          <w:tcPr>
            <w:tcW w:w="1170" w:type="dxa"/>
          </w:tcPr>
          <w:p w:rsidR="0044785F" w:rsidRPr="00BE65E2" w:rsidRDefault="0044785F" w:rsidP="0044785F">
            <w:pPr>
              <w:jc w:val="center"/>
            </w:pPr>
            <w:r w:rsidRPr="00BE65E2">
              <w:t>434131</w:t>
            </w:r>
          </w:p>
        </w:tc>
        <w:tc>
          <w:tcPr>
            <w:tcW w:w="990" w:type="dxa"/>
          </w:tcPr>
          <w:p w:rsidR="0044785F" w:rsidRPr="00BE65E2" w:rsidRDefault="0044785F" w:rsidP="0044785F">
            <w:pPr>
              <w:jc w:val="center"/>
            </w:pPr>
            <w:r w:rsidRPr="00BE65E2">
              <w:t>50</w:t>
            </w:r>
          </w:p>
        </w:tc>
        <w:tc>
          <w:tcPr>
            <w:tcW w:w="2446" w:type="dxa"/>
          </w:tcPr>
          <w:p w:rsidR="0044785F" w:rsidRPr="00BE65E2" w:rsidRDefault="0044785F" w:rsidP="0044785F">
            <w:pPr>
              <w:jc w:val="center"/>
            </w:pPr>
            <w:r w:rsidRPr="00BE65E2">
              <w:t>1</w:t>
            </w:r>
          </w:p>
        </w:tc>
      </w:tr>
      <w:tr w:rsidR="0044785F" w:rsidTr="008E6870">
        <w:trPr>
          <w:trHeight w:val="377"/>
          <w:jc w:val="center"/>
        </w:trPr>
        <w:tc>
          <w:tcPr>
            <w:tcW w:w="3616" w:type="dxa"/>
          </w:tcPr>
          <w:p w:rsidR="0044785F" w:rsidRPr="00BE65E2" w:rsidRDefault="0044785F" w:rsidP="008E6870">
            <w:r w:rsidRPr="00BE65E2">
              <w:t>New Accounts Clerks</w:t>
            </w:r>
          </w:p>
        </w:tc>
        <w:tc>
          <w:tcPr>
            <w:tcW w:w="990" w:type="dxa"/>
          </w:tcPr>
          <w:p w:rsidR="0044785F" w:rsidRPr="00BE65E2" w:rsidRDefault="0044785F" w:rsidP="0044785F">
            <w:pPr>
              <w:jc w:val="center"/>
            </w:pPr>
            <w:r w:rsidRPr="00BE65E2">
              <w:t>0504.00</w:t>
            </w:r>
          </w:p>
        </w:tc>
        <w:tc>
          <w:tcPr>
            <w:tcW w:w="1170" w:type="dxa"/>
          </w:tcPr>
          <w:p w:rsidR="0044785F" w:rsidRPr="00BE65E2" w:rsidRDefault="0044785F" w:rsidP="0044785F">
            <w:pPr>
              <w:jc w:val="center"/>
            </w:pPr>
            <w:r w:rsidRPr="00BE65E2">
              <w:t>434141</w:t>
            </w:r>
          </w:p>
        </w:tc>
        <w:tc>
          <w:tcPr>
            <w:tcW w:w="990" w:type="dxa"/>
          </w:tcPr>
          <w:p w:rsidR="0044785F" w:rsidRPr="00BE65E2" w:rsidRDefault="0044785F" w:rsidP="0044785F">
            <w:pPr>
              <w:jc w:val="center"/>
            </w:pPr>
            <w:r w:rsidRPr="00BE65E2">
              <w:t>40</w:t>
            </w:r>
          </w:p>
        </w:tc>
        <w:tc>
          <w:tcPr>
            <w:tcW w:w="2446" w:type="dxa"/>
          </w:tcPr>
          <w:p w:rsidR="0044785F" w:rsidRPr="00BE65E2" w:rsidRDefault="0044785F" w:rsidP="0044785F">
            <w:pPr>
              <w:jc w:val="center"/>
            </w:pPr>
            <w:r w:rsidRPr="00BE65E2">
              <w:t>1</w:t>
            </w:r>
          </w:p>
        </w:tc>
      </w:tr>
      <w:tr w:rsidR="0044785F" w:rsidTr="008E6870">
        <w:trPr>
          <w:trHeight w:val="377"/>
          <w:jc w:val="center"/>
        </w:trPr>
        <w:tc>
          <w:tcPr>
            <w:tcW w:w="3616" w:type="dxa"/>
          </w:tcPr>
          <w:p w:rsidR="0044785F" w:rsidRPr="00CC419F" w:rsidRDefault="0044785F" w:rsidP="008E6870">
            <w:r w:rsidRPr="00CC419F">
              <w:t>Purchasing Agents, Except Wholesale, Retail, and Farm Products</w:t>
            </w:r>
          </w:p>
        </w:tc>
        <w:tc>
          <w:tcPr>
            <w:tcW w:w="990" w:type="dxa"/>
          </w:tcPr>
          <w:p w:rsidR="0044785F" w:rsidRPr="00CC419F" w:rsidRDefault="0044785F" w:rsidP="0044785F">
            <w:pPr>
              <w:jc w:val="center"/>
            </w:pPr>
            <w:r w:rsidRPr="00CC419F">
              <w:t>0509.00</w:t>
            </w:r>
          </w:p>
        </w:tc>
        <w:tc>
          <w:tcPr>
            <w:tcW w:w="1170" w:type="dxa"/>
          </w:tcPr>
          <w:p w:rsidR="0044785F" w:rsidRPr="00CC419F" w:rsidRDefault="0044785F" w:rsidP="0044785F">
            <w:pPr>
              <w:jc w:val="center"/>
            </w:pPr>
            <w:r w:rsidRPr="00CC419F">
              <w:t>131023</w:t>
            </w:r>
          </w:p>
        </w:tc>
        <w:tc>
          <w:tcPr>
            <w:tcW w:w="990" w:type="dxa"/>
          </w:tcPr>
          <w:p w:rsidR="0044785F" w:rsidRPr="00CC419F" w:rsidRDefault="0044785F" w:rsidP="0044785F">
            <w:pPr>
              <w:jc w:val="center"/>
            </w:pPr>
            <w:r w:rsidRPr="00CC419F">
              <w:t>60</w:t>
            </w:r>
          </w:p>
        </w:tc>
        <w:tc>
          <w:tcPr>
            <w:tcW w:w="2446" w:type="dxa"/>
          </w:tcPr>
          <w:p w:rsidR="0044785F" w:rsidRPr="00CC419F" w:rsidRDefault="0044785F" w:rsidP="0044785F">
            <w:pPr>
              <w:jc w:val="center"/>
            </w:pPr>
            <w:r w:rsidRPr="00CC419F">
              <w:t>3</w:t>
            </w:r>
          </w:p>
        </w:tc>
      </w:tr>
      <w:tr w:rsidR="0044785F" w:rsidTr="008E6870">
        <w:trPr>
          <w:trHeight w:val="377"/>
          <w:jc w:val="center"/>
        </w:trPr>
        <w:tc>
          <w:tcPr>
            <w:tcW w:w="3616" w:type="dxa"/>
          </w:tcPr>
          <w:p w:rsidR="0044785F" w:rsidRPr="00CC419F" w:rsidRDefault="0044785F" w:rsidP="008E6870">
            <w:r w:rsidRPr="00CC419F">
              <w:t>Sales Rep, Wholesale and Manuf. Except Technical and Scientific Products</w:t>
            </w:r>
          </w:p>
        </w:tc>
        <w:tc>
          <w:tcPr>
            <w:tcW w:w="990" w:type="dxa"/>
          </w:tcPr>
          <w:p w:rsidR="0044785F" w:rsidRPr="00CC419F" w:rsidRDefault="0044785F" w:rsidP="0044785F">
            <w:pPr>
              <w:jc w:val="center"/>
            </w:pPr>
            <w:r w:rsidRPr="00CC419F">
              <w:t>0509.00</w:t>
            </w:r>
          </w:p>
        </w:tc>
        <w:tc>
          <w:tcPr>
            <w:tcW w:w="1170" w:type="dxa"/>
          </w:tcPr>
          <w:p w:rsidR="0044785F" w:rsidRPr="00CC419F" w:rsidRDefault="0044785F" w:rsidP="0044785F">
            <w:pPr>
              <w:jc w:val="center"/>
            </w:pPr>
            <w:r w:rsidRPr="00CC419F">
              <w:t>414012</w:t>
            </w:r>
          </w:p>
        </w:tc>
        <w:tc>
          <w:tcPr>
            <w:tcW w:w="990" w:type="dxa"/>
          </w:tcPr>
          <w:p w:rsidR="0044785F" w:rsidRPr="00CC419F" w:rsidRDefault="0044785F" w:rsidP="0044785F">
            <w:pPr>
              <w:jc w:val="center"/>
            </w:pPr>
            <w:r w:rsidRPr="00CC419F">
              <w:t>250</w:t>
            </w:r>
          </w:p>
        </w:tc>
        <w:tc>
          <w:tcPr>
            <w:tcW w:w="2446" w:type="dxa"/>
          </w:tcPr>
          <w:p w:rsidR="0044785F" w:rsidRPr="00CC419F" w:rsidRDefault="0044785F" w:rsidP="0044785F">
            <w:pPr>
              <w:jc w:val="center"/>
            </w:pPr>
            <w:r w:rsidRPr="00CC419F">
              <w:t>9</w:t>
            </w:r>
          </w:p>
        </w:tc>
      </w:tr>
      <w:tr w:rsidR="0044785F" w:rsidTr="008E6870">
        <w:trPr>
          <w:trHeight w:val="377"/>
          <w:jc w:val="center"/>
        </w:trPr>
        <w:tc>
          <w:tcPr>
            <w:tcW w:w="3616" w:type="dxa"/>
          </w:tcPr>
          <w:p w:rsidR="0044785F" w:rsidRPr="00CC419F" w:rsidRDefault="0044785F" w:rsidP="008E6870">
            <w:r w:rsidRPr="00CC419F">
              <w:t>Wholesale and Retail Buyers, Except Farm Products</w:t>
            </w:r>
          </w:p>
        </w:tc>
        <w:tc>
          <w:tcPr>
            <w:tcW w:w="990" w:type="dxa"/>
          </w:tcPr>
          <w:p w:rsidR="0044785F" w:rsidRPr="00CC419F" w:rsidRDefault="0044785F" w:rsidP="0044785F">
            <w:pPr>
              <w:jc w:val="center"/>
            </w:pPr>
            <w:r w:rsidRPr="00CC419F">
              <w:t>0509.00</w:t>
            </w:r>
          </w:p>
        </w:tc>
        <w:tc>
          <w:tcPr>
            <w:tcW w:w="1170" w:type="dxa"/>
          </w:tcPr>
          <w:p w:rsidR="0044785F" w:rsidRPr="00CC419F" w:rsidRDefault="0044785F" w:rsidP="0044785F">
            <w:pPr>
              <w:jc w:val="center"/>
            </w:pPr>
            <w:r w:rsidRPr="00CC419F">
              <w:t>131022</w:t>
            </w:r>
          </w:p>
        </w:tc>
        <w:tc>
          <w:tcPr>
            <w:tcW w:w="990" w:type="dxa"/>
          </w:tcPr>
          <w:p w:rsidR="0044785F" w:rsidRPr="00CC419F" w:rsidRDefault="0044785F" w:rsidP="0044785F">
            <w:pPr>
              <w:jc w:val="center"/>
            </w:pPr>
            <w:r w:rsidRPr="00CC419F">
              <w:t>50</w:t>
            </w:r>
          </w:p>
        </w:tc>
        <w:tc>
          <w:tcPr>
            <w:tcW w:w="2446" w:type="dxa"/>
          </w:tcPr>
          <w:p w:rsidR="0044785F" w:rsidRPr="00CC419F" w:rsidRDefault="0044785F" w:rsidP="0044785F">
            <w:pPr>
              <w:jc w:val="center"/>
            </w:pPr>
            <w:r w:rsidRPr="00CC419F">
              <w:t>1</w:t>
            </w:r>
          </w:p>
        </w:tc>
      </w:tr>
      <w:tr w:rsidR="0044785F" w:rsidTr="008E6870">
        <w:trPr>
          <w:trHeight w:val="377"/>
          <w:jc w:val="center"/>
        </w:trPr>
        <w:tc>
          <w:tcPr>
            <w:tcW w:w="3616" w:type="dxa"/>
            <w:vAlign w:val="center"/>
          </w:tcPr>
          <w:p w:rsidR="0044785F" w:rsidRPr="00CC419F" w:rsidRDefault="0044785F" w:rsidP="008E6870">
            <w:r>
              <w:rPr>
                <w:rFonts w:ascii="Arial" w:hAnsi="Arial" w:cs="Arial"/>
                <w:sz w:val="20"/>
                <w:szCs w:val="20"/>
              </w:rPr>
              <w:t>Total</w:t>
            </w:r>
          </w:p>
        </w:tc>
        <w:tc>
          <w:tcPr>
            <w:tcW w:w="3150" w:type="dxa"/>
            <w:gridSpan w:val="3"/>
            <w:vAlign w:val="center"/>
          </w:tcPr>
          <w:p w:rsidR="0044785F" w:rsidRPr="00CC419F" w:rsidRDefault="0044785F" w:rsidP="0044785F">
            <w:pPr>
              <w:jc w:val="center"/>
            </w:pPr>
          </w:p>
        </w:tc>
        <w:tc>
          <w:tcPr>
            <w:tcW w:w="2446" w:type="dxa"/>
          </w:tcPr>
          <w:p w:rsidR="0044785F" w:rsidRDefault="00B54057" w:rsidP="0044785F">
            <w:pPr>
              <w:jc w:val="center"/>
            </w:pPr>
            <w:r>
              <w:rPr>
                <w:rFonts w:ascii="Arial" w:hAnsi="Arial" w:cs="Arial"/>
                <w:sz w:val="20"/>
                <w:szCs w:val="20"/>
              </w:rPr>
              <w:t>77</w:t>
            </w:r>
            <w:r w:rsidR="0044785F">
              <w:rPr>
                <w:rFonts w:ascii="Arial" w:hAnsi="Arial" w:cs="Arial"/>
                <w:sz w:val="20"/>
                <w:szCs w:val="20"/>
              </w:rPr>
              <w:t>*</w:t>
            </w:r>
          </w:p>
        </w:tc>
      </w:tr>
      <w:tr w:rsidR="0044785F" w:rsidTr="001C6D9E">
        <w:trPr>
          <w:trHeight w:val="377"/>
          <w:jc w:val="center"/>
        </w:trPr>
        <w:tc>
          <w:tcPr>
            <w:tcW w:w="6766" w:type="dxa"/>
            <w:gridSpan w:val="4"/>
            <w:vAlign w:val="center"/>
          </w:tcPr>
          <w:p w:rsidR="0044785F" w:rsidRDefault="0044785F" w:rsidP="001C6D9E">
            <w:pPr>
              <w:autoSpaceDE w:val="0"/>
              <w:autoSpaceDN w:val="0"/>
              <w:adjustRightInd w:val="0"/>
              <w:jc w:val="right"/>
              <w:rPr>
                <w:rFonts w:ascii="Arial" w:hAnsi="Arial" w:cs="Arial"/>
                <w:sz w:val="20"/>
                <w:szCs w:val="20"/>
              </w:rPr>
            </w:pPr>
          </w:p>
        </w:tc>
        <w:tc>
          <w:tcPr>
            <w:tcW w:w="2446" w:type="dxa"/>
            <w:vAlign w:val="center"/>
          </w:tcPr>
          <w:p w:rsidR="0044785F" w:rsidRDefault="0044785F" w:rsidP="0044785F">
            <w:pPr>
              <w:autoSpaceDE w:val="0"/>
              <w:autoSpaceDN w:val="0"/>
              <w:adjustRightInd w:val="0"/>
              <w:jc w:val="center"/>
              <w:rPr>
                <w:rFonts w:ascii="Arial" w:hAnsi="Arial" w:cs="Arial"/>
                <w:sz w:val="20"/>
                <w:szCs w:val="20"/>
              </w:rPr>
            </w:pPr>
          </w:p>
        </w:tc>
      </w:tr>
    </w:tbl>
    <w:p w:rsidR="00AE5C40" w:rsidRDefault="00AE5C40" w:rsidP="006D4F29">
      <w:pPr>
        <w:spacing w:after="0" w:line="240" w:lineRule="auto"/>
        <w:ind w:left="1440"/>
        <w:rPr>
          <w:sz w:val="24"/>
          <w:szCs w:val="24"/>
        </w:rPr>
      </w:pPr>
    </w:p>
    <w:p w:rsidR="0044785F" w:rsidRDefault="0044785F" w:rsidP="006D4F29">
      <w:pPr>
        <w:spacing w:after="0" w:line="240" w:lineRule="auto"/>
        <w:ind w:left="1440"/>
        <w:rPr>
          <w:sz w:val="24"/>
          <w:szCs w:val="24"/>
        </w:rPr>
      </w:pPr>
    </w:p>
    <w:p w:rsidR="00B54057" w:rsidRDefault="00B54057" w:rsidP="006D4F29">
      <w:pPr>
        <w:spacing w:after="0" w:line="240" w:lineRule="auto"/>
        <w:ind w:left="1440"/>
        <w:rPr>
          <w:sz w:val="24"/>
          <w:szCs w:val="24"/>
        </w:rPr>
      </w:pPr>
    </w:p>
    <w:p w:rsidR="00B54057" w:rsidRDefault="00B54057" w:rsidP="006D4F29">
      <w:pPr>
        <w:spacing w:after="0" w:line="240" w:lineRule="auto"/>
        <w:ind w:left="1440"/>
        <w:rPr>
          <w:sz w:val="24"/>
          <w:szCs w:val="24"/>
        </w:rPr>
      </w:pPr>
    </w:p>
    <w:p w:rsidR="0044785F" w:rsidRDefault="0044785F" w:rsidP="006D4F29">
      <w:pPr>
        <w:spacing w:after="0" w:line="240" w:lineRule="auto"/>
        <w:ind w:left="1440"/>
        <w:rPr>
          <w:sz w:val="24"/>
          <w:szCs w:val="24"/>
        </w:rPr>
      </w:pP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RPr="00AC2D84" w:rsidTr="00D9584C">
        <w:tc>
          <w:tcPr>
            <w:tcW w:w="630" w:type="dxa"/>
            <w:tcBorders>
              <w:top w:val="single" w:sz="4" w:space="0" w:color="auto"/>
              <w:left w:val="single" w:sz="4" w:space="0" w:color="auto"/>
              <w:bottom w:val="dotted" w:sz="4" w:space="0" w:color="auto"/>
              <w:right w:val="dotted" w:sz="4" w:space="0" w:color="auto"/>
            </w:tcBorders>
          </w:tcPr>
          <w:p w:rsidR="00D001FF" w:rsidRPr="00AC2D84" w:rsidRDefault="00D001FF" w:rsidP="005707F9">
            <w:pPr>
              <w:jc w:val="center"/>
              <w:rPr>
                <w:sz w:val="40"/>
                <w:szCs w:val="40"/>
              </w:rPr>
            </w:pPr>
            <w:r w:rsidRPr="00AC2D84">
              <w:rPr>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AC2D84" w:rsidRDefault="00D001FF" w:rsidP="005707F9">
            <w:pPr>
              <w:jc w:val="center"/>
              <w:rPr>
                <w:sz w:val="32"/>
                <w:szCs w:val="32"/>
              </w:rPr>
            </w:pPr>
            <w:r w:rsidRPr="00AC2D84">
              <w:rPr>
                <w:sz w:val="32"/>
                <w:szCs w:val="32"/>
              </w:rPr>
              <w:t xml:space="preserve">FUTURE PROGRAM GOAL </w:t>
            </w:r>
            <w:r w:rsidR="005B59C1" w:rsidRPr="00AC2D84">
              <w:rPr>
                <w:sz w:val="32"/>
                <w:szCs w:val="32"/>
              </w:rPr>
              <w:t>#</w:t>
            </w:r>
            <w:r w:rsidRPr="00AC2D84">
              <w:rPr>
                <w:sz w:val="32"/>
                <w:szCs w:val="32"/>
              </w:rPr>
              <w:t>1</w:t>
            </w:r>
          </w:p>
          <w:p w:rsidR="00D001FF" w:rsidRPr="00AC2D84" w:rsidRDefault="00D001FF" w:rsidP="005707F9">
            <w:pPr>
              <w:jc w:val="center"/>
              <w:rPr>
                <w:sz w:val="24"/>
                <w:szCs w:val="24"/>
              </w:rPr>
            </w:pPr>
            <w:r w:rsidRPr="00AC2D84">
              <w:rPr>
                <w:sz w:val="24"/>
                <w:szCs w:val="24"/>
              </w:rPr>
              <w:t>Budget Priority #1</w:t>
            </w:r>
          </w:p>
        </w:tc>
        <w:tc>
          <w:tcPr>
            <w:tcW w:w="1980" w:type="dxa"/>
            <w:tcBorders>
              <w:top w:val="single" w:sz="4" w:space="0" w:color="auto"/>
              <w:left w:val="dotted" w:sz="4" w:space="0" w:color="auto"/>
              <w:right w:val="single" w:sz="4" w:space="0" w:color="auto"/>
            </w:tcBorders>
          </w:tcPr>
          <w:p w:rsidR="00D001FF" w:rsidRPr="00AC2D84" w:rsidRDefault="00D001FF" w:rsidP="00CC5AEE">
            <w:pPr>
              <w:jc w:val="center"/>
              <w:rPr>
                <w:rFonts w:asciiTheme="majorHAnsi" w:eastAsia="Times New Roman" w:hAnsiTheme="majorHAnsi" w:cs="Arial"/>
                <w:sz w:val="24"/>
                <w:szCs w:val="24"/>
                <w:shd w:val="clear" w:color="auto" w:fill="BFBFBF" w:themeFill="background1" w:themeFillShade="BF"/>
              </w:rPr>
            </w:pPr>
            <w:r w:rsidRPr="00AC2D84">
              <w:rPr>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4457CE">
              <w:rPr>
                <w:sz w:val="24"/>
                <w:szCs w:val="24"/>
              </w:rPr>
              <w:t>We want to further refine our PLO’s so that they better work across different courses and even disciplines.  Currently, each PLO is assessed in only one course in the program</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44785F" w:rsidP="003B17D4">
            <w:pPr>
              <w:jc w:val="center"/>
              <w:rPr>
                <w:sz w:val="24"/>
                <w:szCs w:val="24"/>
              </w:rPr>
            </w:pPr>
            <w:r>
              <w:rPr>
                <w:sz w:val="24"/>
                <w:szCs w:val="24"/>
              </w:rPr>
              <w:t xml:space="preserve"> </w:t>
            </w:r>
            <w:r w:rsidRPr="0044785F">
              <w:rPr>
                <w:b/>
                <w:sz w:val="24"/>
                <w:szCs w:val="24"/>
              </w:rPr>
              <w:t xml:space="preserve">X </w:t>
            </w:r>
            <w:r>
              <w:rPr>
                <w:sz w:val="24"/>
                <w:szCs w:val="24"/>
              </w:rPr>
              <w:t xml:space="preserve">  </w:t>
            </w:r>
            <w:r w:rsidR="003B17D4" w:rsidRPr="003B17D4">
              <w:rPr>
                <w:sz w:val="24"/>
                <w:szCs w:val="24"/>
              </w:rPr>
              <w:t>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4457CE">
              <w:rPr>
                <w:sz w:val="24"/>
                <w:szCs w:val="24"/>
              </w:rPr>
              <w:t>Simplify PLO’s to allow us to assess each PLO in multiple courses at the same time.</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Default="005707F9" w:rsidP="00CF1504">
            <w:pPr>
              <w:rPr>
                <w:sz w:val="24"/>
                <w:szCs w:val="24"/>
              </w:rPr>
            </w:pPr>
            <w:r w:rsidRPr="005707F9">
              <w:rPr>
                <w:b/>
                <w:sz w:val="24"/>
                <w:szCs w:val="24"/>
              </w:rPr>
              <w:t>Task(s):</w:t>
            </w:r>
            <w:r w:rsidRPr="005707F9">
              <w:rPr>
                <w:sz w:val="24"/>
                <w:szCs w:val="24"/>
              </w:rPr>
              <w:t xml:space="preserve"> </w:t>
            </w:r>
            <w:r w:rsidR="004457CE">
              <w:rPr>
                <w:sz w:val="24"/>
                <w:szCs w:val="24"/>
              </w:rPr>
              <w:t>(1) Review other institutions Business PLO’s</w:t>
            </w:r>
          </w:p>
          <w:p w:rsidR="004457CE" w:rsidRPr="005707F9" w:rsidRDefault="004457CE" w:rsidP="00CF1504">
            <w:pPr>
              <w:rPr>
                <w:sz w:val="24"/>
                <w:szCs w:val="24"/>
              </w:rPr>
            </w:pPr>
            <w:r>
              <w:rPr>
                <w:sz w:val="24"/>
                <w:szCs w:val="24"/>
              </w:rPr>
              <w:t xml:space="preserve">               (2) Rewrite PLO’s </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4457CE">
              <w:rPr>
                <w:sz w:val="24"/>
                <w:szCs w:val="24"/>
              </w:rPr>
              <w:t>Fall 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3" w:name="Check2"/>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4" w:name="Check3"/>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5"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5"/>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6" w:name="Check4"/>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457CE">
            <w:pPr>
              <w:jc w:val="right"/>
              <w:rPr>
                <w:sz w:val="24"/>
                <w:szCs w:val="24"/>
              </w:rPr>
            </w:pPr>
            <w:r w:rsidRPr="005707F9">
              <w:rPr>
                <w:sz w:val="24"/>
                <w:szCs w:val="24"/>
              </w:rPr>
              <w:t>$</w:t>
            </w:r>
            <w:r w:rsidR="004457CE">
              <w:rPr>
                <w:sz w:val="24"/>
                <w:szCs w:val="24"/>
                <w:u w:val="single"/>
              </w:rPr>
              <w:t>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4457CE">
              <w:rPr>
                <w:sz w:val="24"/>
                <w:szCs w:val="24"/>
              </w:rPr>
              <w:t>Increase support staff</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2</w:t>
            </w:r>
          </w:p>
          <w:p w:rsidR="003B17D4" w:rsidRPr="003B17D4" w:rsidRDefault="00CB6851" w:rsidP="003B17D4">
            <w:pPr>
              <w:jc w:val="center"/>
              <w:rPr>
                <w:sz w:val="24"/>
                <w:szCs w:val="24"/>
              </w:rPr>
            </w:pPr>
            <w:r w:rsidRPr="00CB6851">
              <w:rPr>
                <w:b/>
                <w:sz w:val="24"/>
                <w:szCs w:val="24"/>
              </w:rPr>
              <w:t>X</w:t>
            </w:r>
            <w:r>
              <w:rPr>
                <w:sz w:val="24"/>
                <w:szCs w:val="24"/>
              </w:rPr>
              <w:t xml:space="preserve">  </w:t>
            </w:r>
            <w:r w:rsidR="003B17D4"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CB6851">
              <w:rPr>
                <w:sz w:val="24"/>
                <w:szCs w:val="24"/>
              </w:rPr>
              <w:t>In Spring 2012, the Business Department’s secretarial staff was cut from full-time to half-time duties.  Further, support staff is no longer located in the Business Department Office, but rather across campus.  This makes coordination much more difficult.  We need someone in our office to assist staff and students.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CB6851" w:rsidRPr="00B30971" w:rsidRDefault="00D001FF" w:rsidP="004A2B92">
            <w:pPr>
              <w:rPr>
                <w:sz w:val="24"/>
                <w:szCs w:val="24"/>
              </w:rPr>
            </w:pPr>
            <w:r w:rsidRPr="00B30971">
              <w:rPr>
                <w:b/>
                <w:sz w:val="24"/>
                <w:szCs w:val="24"/>
              </w:rPr>
              <w:t>Task(s):</w:t>
            </w:r>
            <w:r w:rsidRPr="00B30971">
              <w:rPr>
                <w:sz w:val="24"/>
                <w:szCs w:val="24"/>
              </w:rPr>
              <w:t xml:space="preserve"> </w:t>
            </w:r>
            <w:r w:rsidR="00CB6851">
              <w:rPr>
                <w:sz w:val="24"/>
                <w:szCs w:val="24"/>
              </w:rPr>
              <w:t xml:space="preserve">Convince the staffing committee to heed our plea.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CB6851">
              <w:rPr>
                <w:sz w:val="24"/>
                <w:szCs w:val="24"/>
              </w:rPr>
              <w:t>Spring 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5F333E">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5F333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5F333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5F333E">
            <w:pPr>
              <w:jc w:val="center"/>
              <w:rPr>
                <w:b/>
                <w:sz w:val="24"/>
                <w:szCs w:val="24"/>
              </w:rPr>
            </w:pPr>
            <w:r w:rsidRPr="00455861">
              <w:rPr>
                <w:b/>
                <w:sz w:val="24"/>
                <w:szCs w:val="24"/>
              </w:rPr>
              <w:t>RESOURCE PLAN</w:t>
            </w:r>
          </w:p>
          <w:p w:rsidR="006854CC" w:rsidRPr="00455861" w:rsidRDefault="006854CC" w:rsidP="005F333E">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5F333E">
            <w:pPr>
              <w:jc w:val="center"/>
              <w:rPr>
                <w:b/>
                <w:sz w:val="24"/>
                <w:szCs w:val="24"/>
              </w:rPr>
            </w:pPr>
            <w:r w:rsidRPr="00455861">
              <w:rPr>
                <w:b/>
                <w:sz w:val="24"/>
                <w:szCs w:val="24"/>
              </w:rPr>
              <w:t>BUDGET REQUEST</w:t>
            </w:r>
          </w:p>
        </w:tc>
      </w:tr>
      <w:tr w:rsidR="006854CC" w:rsidTr="005F333E">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F333E">
            <w:pPr>
              <w:rPr>
                <w:sz w:val="24"/>
                <w:szCs w:val="24"/>
              </w:rPr>
            </w:pPr>
          </w:p>
          <w:p w:rsidR="006854CC" w:rsidRDefault="006854CC" w:rsidP="005F333E">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5F333E">
            <w:pPr>
              <w:rPr>
                <w:sz w:val="24"/>
                <w:szCs w:val="24"/>
              </w:rPr>
            </w:pPr>
          </w:p>
          <w:p w:rsidR="006854CC" w:rsidRPr="005707F9" w:rsidRDefault="004457CE" w:rsidP="005F333E">
            <w:pPr>
              <w:rPr>
                <w:sz w:val="24"/>
                <w:szCs w:val="24"/>
              </w:rPr>
            </w:pPr>
            <w:r w:rsidRPr="004457CE">
              <w:rPr>
                <w:b/>
                <w:sz w:val="24"/>
                <w:szCs w:val="24"/>
              </w:rPr>
              <w:t>X</w:t>
            </w:r>
            <w:r>
              <w:rPr>
                <w:sz w:val="24"/>
                <w:szCs w:val="24"/>
              </w:rPr>
              <w:t xml:space="preserve">  </w:t>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F333E">
            <w:pPr>
              <w:rPr>
                <w:sz w:val="24"/>
                <w:szCs w:val="24"/>
              </w:rPr>
            </w:pPr>
          </w:p>
          <w:p w:rsidR="006854CC" w:rsidRDefault="006854CC" w:rsidP="005F333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5F333E">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5F333E">
            <w:pPr>
              <w:rPr>
                <w:sz w:val="24"/>
                <w:szCs w:val="24"/>
              </w:rPr>
            </w:pPr>
          </w:p>
          <w:p w:rsidR="006854CC" w:rsidRPr="005707F9" w:rsidRDefault="004457CE" w:rsidP="005F333E">
            <w:pPr>
              <w:rPr>
                <w:sz w:val="24"/>
                <w:szCs w:val="24"/>
              </w:rPr>
            </w:pPr>
            <w:r w:rsidRPr="004457CE">
              <w:rPr>
                <w:b/>
                <w:sz w:val="24"/>
                <w:szCs w:val="24"/>
              </w:rPr>
              <w:t>X</w:t>
            </w:r>
            <w:r>
              <w:rPr>
                <w:sz w:val="24"/>
                <w:szCs w:val="24"/>
              </w:rPr>
              <w:t xml:space="preserve"> </w:t>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5F333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5F333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5F333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5F333E">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4457CE" w:rsidP="005F333E">
            <w:pPr>
              <w:rPr>
                <w:sz w:val="24"/>
                <w:szCs w:val="24"/>
              </w:rPr>
            </w:pPr>
            <w:r w:rsidRPr="004457CE">
              <w:rPr>
                <w:b/>
                <w:sz w:val="24"/>
                <w:szCs w:val="24"/>
              </w:rPr>
              <w:t>X</w:t>
            </w:r>
            <w:r>
              <w:rPr>
                <w:sz w:val="24"/>
                <w:szCs w:val="24"/>
              </w:rPr>
              <w:t xml:space="preserve">  </w:t>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457CE">
            <w:pPr>
              <w:jc w:val="right"/>
              <w:rPr>
                <w:sz w:val="24"/>
                <w:szCs w:val="24"/>
              </w:rPr>
            </w:pPr>
            <w:r w:rsidRPr="005707F9">
              <w:rPr>
                <w:sz w:val="24"/>
                <w:szCs w:val="24"/>
              </w:rPr>
              <w:t>$</w:t>
            </w:r>
            <w:r w:rsidR="004457CE">
              <w:rPr>
                <w:sz w:val="24"/>
                <w:szCs w:val="24"/>
                <w:u w:val="single"/>
              </w:rPr>
              <w:t>22,000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CB6851" w:rsidP="00B7252F">
      <w:pPr>
        <w:pStyle w:val="ListParagraph"/>
        <w:spacing w:after="0" w:line="240" w:lineRule="auto"/>
        <w:ind w:left="1080" w:firstLine="360"/>
        <w:rPr>
          <w:sz w:val="24"/>
          <w:szCs w:val="24"/>
        </w:rPr>
      </w:pPr>
      <w:r>
        <w:rPr>
          <w:sz w:val="24"/>
          <w:szCs w:val="24"/>
        </w:rPr>
        <w:t>It will improve overall efficiency in the department.</w:t>
      </w:r>
    </w:p>
    <w:p w:rsidR="00597F48" w:rsidRPr="00110022" w:rsidRDefault="00597F48" w:rsidP="00B7252F">
      <w:pPr>
        <w:pStyle w:val="ListParagraph"/>
        <w:spacing w:after="0" w:line="240" w:lineRule="auto"/>
        <w:ind w:left="1080" w:firstLine="360"/>
        <w:rPr>
          <w:sz w:val="24"/>
          <w:szCs w:val="24"/>
        </w:rPr>
      </w:pPr>
    </w:p>
    <w:p w:rsidR="005B59C1" w:rsidRDefault="005B59C1" w:rsidP="005B59C1">
      <w:pPr>
        <w:spacing w:after="0" w:line="240" w:lineRule="auto"/>
        <w:ind w:left="360" w:firstLine="720"/>
        <w:rPr>
          <w:sz w:val="24"/>
          <w:szCs w:val="24"/>
        </w:rPr>
      </w:pPr>
      <w:r>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5E6467">
            <w:pPr>
              <w:rPr>
                <w:b/>
                <w:sz w:val="24"/>
                <w:szCs w:val="24"/>
              </w:rPr>
            </w:pPr>
            <w:r w:rsidRPr="00C15830">
              <w:rPr>
                <w:b/>
                <w:sz w:val="24"/>
                <w:szCs w:val="24"/>
              </w:rPr>
              <w:t xml:space="preserve">Identify Program Outcome: </w:t>
            </w:r>
            <w:r w:rsidR="00DA3B8E">
              <w:rPr>
                <w:b/>
                <w:sz w:val="24"/>
                <w:szCs w:val="24"/>
              </w:rPr>
              <w:t xml:space="preserve"> </w:t>
            </w:r>
            <w:r w:rsidR="00DA3B8E" w:rsidRPr="00987D39">
              <w:rPr>
                <w:noProof/>
                <w:sz w:val="24"/>
                <w:szCs w:val="24"/>
              </w:rPr>
              <w:t>Analyze legal cases and web information sources and effectively communicate the results.</w:t>
            </w:r>
          </w:p>
        </w:tc>
        <w:tc>
          <w:tcPr>
            <w:tcW w:w="2070" w:type="dxa"/>
            <w:vMerge w:val="restart"/>
            <w:tcBorders>
              <w:top w:val="single" w:sz="4" w:space="0" w:color="auto"/>
              <w:left w:val="single" w:sz="4" w:space="0" w:color="auto"/>
              <w:right w:val="single" w:sz="4" w:space="0" w:color="auto"/>
            </w:tcBorders>
          </w:tcPr>
          <w:p w:rsidR="004A2B92" w:rsidRPr="003B17D4" w:rsidRDefault="00471947" w:rsidP="00BA2412">
            <w:pPr>
              <w:jc w:val="center"/>
              <w:rPr>
                <w:sz w:val="24"/>
                <w:szCs w:val="24"/>
              </w:rPr>
            </w:pPr>
            <w:r w:rsidRPr="00471947">
              <w:rPr>
                <w:b/>
                <w:sz w:val="24"/>
                <w:szCs w:val="24"/>
              </w:rPr>
              <w:t>X</w:t>
            </w:r>
            <w:r>
              <w:rPr>
                <w:sz w:val="24"/>
                <w:szCs w:val="24"/>
              </w:rPr>
              <w:t xml:space="preserve">  </w:t>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471947" w:rsidP="00BA2412">
            <w:pPr>
              <w:jc w:val="center"/>
              <w:rPr>
                <w:sz w:val="24"/>
                <w:szCs w:val="24"/>
              </w:rPr>
            </w:pPr>
            <w:r w:rsidRPr="00471947">
              <w:rPr>
                <w:b/>
                <w:sz w:val="24"/>
                <w:szCs w:val="24"/>
              </w:rPr>
              <w:t xml:space="preserve">X </w:t>
            </w:r>
            <w:r>
              <w:rPr>
                <w:sz w:val="24"/>
                <w:szCs w:val="24"/>
              </w:rPr>
              <w:t xml:space="preserve"> </w:t>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3</w:t>
            </w:r>
          </w:p>
          <w:p w:rsidR="004A2B92" w:rsidRPr="003B17D4" w:rsidRDefault="004A2B92" w:rsidP="00BA2412">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4</w:t>
            </w:r>
          </w:p>
          <w:p w:rsidR="004A2B92" w:rsidRPr="00B30971" w:rsidRDefault="004A2B92" w:rsidP="006D4F29">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w:t>
            </w:r>
            <w:r w:rsidR="00D9584C" w:rsidRPr="003B17D4">
              <w:rPr>
                <w:sz w:val="24"/>
                <w:szCs w:val="24"/>
              </w:rPr>
              <w:t>S</w:t>
            </w:r>
            <w:r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00DA3B8E" w:rsidRPr="00CC15E4">
              <w:rPr>
                <w:sz w:val="24"/>
                <w:szCs w:val="24"/>
              </w:rPr>
              <w:t xml:space="preserve">41 students completed the Case Analysis in Spring 2013 semester. Broken down by major: thirty-one students in Business Administration; five students in Business Management; three students in Business Financial Services; two students in Business Marketing.  The assessment was undertaken near the half-way point of the semester.  In all, 19/41 (46%) scored 70% or better on the case study assessment, while another 15/41 scored 60% or better.  Clearly the results do not match for the hoped for outcome.  Interestingly, a similar problem on the course final which was not assessed for PLO purposes showed a significantly higher percentage of the students were able to achieve the hoped for 70% or better score.  </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68" w:type="dxa"/>
            <w:tcBorders>
              <w:top w:val="single" w:sz="4" w:space="0" w:color="auto"/>
              <w:left w:val="nil"/>
              <w:bottom w:val="nil"/>
              <w:right w:val="nil"/>
            </w:tcBorders>
          </w:tcPr>
          <w:p w:rsidR="00455861" w:rsidRPr="005707F9" w:rsidRDefault="00DA3B8E" w:rsidP="005A6C4B">
            <w:pPr>
              <w:rPr>
                <w:sz w:val="24"/>
                <w:szCs w:val="24"/>
              </w:rPr>
            </w:pPr>
            <w:r w:rsidRPr="00DA3B8E">
              <w:rPr>
                <w:b/>
                <w:sz w:val="24"/>
                <w:szCs w:val="24"/>
              </w:rPr>
              <w:t>X</w:t>
            </w:r>
            <w:r>
              <w:rPr>
                <w:sz w:val="24"/>
                <w:szCs w:val="24"/>
              </w:rPr>
              <w:t xml:space="preserve"> </w:t>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1179">
              <w:rPr>
                <w:sz w:val="24"/>
                <w:szCs w:val="24"/>
              </w:rPr>
              <w:t>Going forward, we will try to incorporate two separate assessments of this PLO, to help</w:t>
            </w:r>
            <w:r w:rsidR="00751179" w:rsidRPr="00CC15E4">
              <w:rPr>
                <w:sz w:val="24"/>
                <w:szCs w:val="24"/>
              </w:rPr>
              <w:t xml:space="preserve"> students better achieve the desired result.</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DA3B8E" w:rsidRPr="00987D39">
              <w:rPr>
                <w:noProof/>
                <w:sz w:val="24"/>
                <w:szCs w:val="24"/>
              </w:rPr>
              <w:t>Illustrate basic economic models and use those models to analyze data and reach reasoned conclusions.</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751179" w:rsidP="003B17D4">
            <w:pPr>
              <w:jc w:val="center"/>
              <w:rPr>
                <w:sz w:val="24"/>
                <w:szCs w:val="24"/>
              </w:rPr>
            </w:pPr>
            <w:r w:rsidRPr="00751179">
              <w:rPr>
                <w:b/>
                <w:sz w:val="24"/>
                <w:szCs w:val="24"/>
              </w:rPr>
              <w:t>X</w:t>
            </w:r>
            <w:r>
              <w:rPr>
                <w:sz w:val="24"/>
                <w:szCs w:val="24"/>
              </w:rPr>
              <w:t xml:space="preserve">  </w:t>
            </w:r>
            <w:r w:rsidR="003B17D4" w:rsidRPr="003B17D4">
              <w:rPr>
                <w:sz w:val="24"/>
                <w:szCs w:val="24"/>
              </w:rPr>
              <w:t xml:space="preserve"> ISLO 1</w:t>
            </w:r>
          </w:p>
          <w:p w:rsidR="003B17D4" w:rsidRPr="003B17D4" w:rsidRDefault="00751179" w:rsidP="003B17D4">
            <w:pPr>
              <w:jc w:val="center"/>
              <w:rPr>
                <w:sz w:val="24"/>
                <w:szCs w:val="24"/>
              </w:rPr>
            </w:pPr>
            <w:r w:rsidRPr="00751179">
              <w:rPr>
                <w:b/>
                <w:sz w:val="24"/>
                <w:szCs w:val="24"/>
              </w:rPr>
              <w:t>X</w:t>
            </w:r>
            <w:r>
              <w:rPr>
                <w:sz w:val="24"/>
                <w:szCs w:val="24"/>
              </w:rPr>
              <w:t xml:space="preserve">  </w:t>
            </w:r>
            <w:r w:rsidR="003B17D4"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72165A"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471947">
              <w:rPr>
                <w:sz w:val="24"/>
                <w:szCs w:val="24"/>
              </w:rPr>
              <w:t>In all, 57 students were assessed in Fall 2013.  Students self-identified their program of study on the final exam</w:t>
            </w:r>
            <w:r w:rsidR="00751179">
              <w:rPr>
                <w:sz w:val="24"/>
                <w:szCs w:val="24"/>
              </w:rPr>
              <w:t xml:space="preserve"> and the vast majority of those identified Business Administration</w:t>
            </w:r>
            <w:r w:rsidR="00471947">
              <w:rPr>
                <w:sz w:val="24"/>
                <w:szCs w:val="24"/>
              </w:rPr>
              <w:t xml:space="preserve">.  </w:t>
            </w:r>
            <w:r w:rsidR="0072165A">
              <w:rPr>
                <w:sz w:val="24"/>
                <w:szCs w:val="24"/>
              </w:rPr>
              <w:t xml:space="preserve">Students were given two distinct problems to show that they had mastered the above PLO.  Scores were very high on the first of the two questions and significantly lower on the second question which required more critical thinking. In all, </w:t>
            </w:r>
            <w:r w:rsidR="00751179">
              <w:rPr>
                <w:sz w:val="24"/>
                <w:szCs w:val="24"/>
              </w:rPr>
              <w:t>37 students (65%) achi</w:t>
            </w:r>
            <w:r w:rsidR="0072165A">
              <w:rPr>
                <w:sz w:val="24"/>
                <w:szCs w:val="24"/>
              </w:rPr>
              <w:t>eved a score of 70% or better on the two questions combined.</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471947" w:rsidP="005A6C4B">
            <w:pPr>
              <w:rPr>
                <w:sz w:val="24"/>
                <w:szCs w:val="24"/>
              </w:rPr>
            </w:pPr>
            <w:r w:rsidRPr="00471947">
              <w:rPr>
                <w:b/>
                <w:sz w:val="24"/>
                <w:szCs w:val="24"/>
              </w:rPr>
              <w:t>X</w:t>
            </w:r>
            <w:r>
              <w:rPr>
                <w:sz w:val="24"/>
                <w:szCs w:val="24"/>
              </w:rPr>
              <w:t xml:space="preserve"> </w:t>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751179">
              <w:rPr>
                <w:sz w:val="24"/>
                <w:szCs w:val="24"/>
              </w:rPr>
              <w:t xml:space="preserve">Going forward, </w:t>
            </w:r>
            <w:r w:rsidR="0072165A">
              <w:rPr>
                <w:sz w:val="24"/>
                <w:szCs w:val="24"/>
              </w:rPr>
              <w:t>more practice with the critical thinking element of the economic models will be incorporated into the course</w:t>
            </w:r>
            <w:r w:rsidR="00751179" w:rsidRPr="00CC15E4">
              <w:rPr>
                <w:sz w:val="24"/>
                <w:szCs w:val="24"/>
              </w:rPr>
              <w:t>.</w:t>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Default="004A2B92" w:rsidP="004A2B92">
            <w:pPr>
              <w:rPr>
                <w:b/>
                <w:sz w:val="24"/>
                <w:szCs w:val="24"/>
              </w:rPr>
            </w:pPr>
          </w:p>
          <w:p w:rsidR="001A3688" w:rsidRPr="005B59C1" w:rsidRDefault="001A3688"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003835E7" w:rsidRPr="00987D39">
              <w:rPr>
                <w:noProof/>
                <w:sz w:val="24"/>
                <w:szCs w:val="24"/>
              </w:rPr>
              <w:t>S</w:t>
            </w:r>
            <w:r w:rsidR="003835E7" w:rsidRPr="00250525">
              <w:rPr>
                <w:noProof/>
                <w:sz w:val="24"/>
                <w:szCs w:val="24"/>
              </w:rPr>
              <w:t>how understanding of accounting information for use in planning, controlling, directing operations and decision-making</w:t>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1</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3</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4</w:t>
            </w:r>
          </w:p>
          <w:p w:rsidR="004A2B92"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00471947">
              <w:rPr>
                <w:sz w:val="24"/>
                <w:szCs w:val="24"/>
              </w:rPr>
              <w:t>Will be measured in Spring 2014</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A52AD1" w:rsidRPr="00A52AD1" w:rsidRDefault="00A52AD1" w:rsidP="00A52AD1">
            <w:pPr>
              <w:jc w:val="center"/>
              <w:rPr>
                <w:rFonts w:eastAsiaTheme="minorEastAsia"/>
                <w:sz w:val="24"/>
                <w:szCs w:val="24"/>
              </w:rPr>
            </w:pPr>
            <w:r>
              <w:rPr>
                <w:rFonts w:eastAsiaTheme="minorEastAsia"/>
                <w:sz w:val="24"/>
                <w:szCs w:val="24"/>
              </w:rPr>
              <w:lastRenderedPageBreak/>
              <w:t>SLO Grid</w:t>
            </w:r>
          </w:p>
          <w:tbl>
            <w:tblPr>
              <w:tblStyle w:val="TableGrid"/>
              <w:tblW w:w="10023" w:type="dxa"/>
              <w:jc w:val="center"/>
              <w:tblLayout w:type="fixed"/>
              <w:tblLook w:val="04A0" w:firstRow="1" w:lastRow="0" w:firstColumn="1" w:lastColumn="0" w:noHBand="0" w:noVBand="1"/>
            </w:tblPr>
            <w:tblGrid>
              <w:gridCol w:w="1360"/>
              <w:gridCol w:w="734"/>
              <w:gridCol w:w="1216"/>
              <w:gridCol w:w="888"/>
              <w:gridCol w:w="950"/>
              <w:gridCol w:w="888"/>
              <w:gridCol w:w="748"/>
              <w:gridCol w:w="888"/>
              <w:gridCol w:w="760"/>
              <w:gridCol w:w="888"/>
              <w:gridCol w:w="703"/>
            </w:tblGrid>
            <w:tr w:rsidR="00A52AD1" w:rsidRPr="00A52AD1" w:rsidTr="0011602C">
              <w:trPr>
                <w:trHeight w:val="315"/>
                <w:jc w:val="center"/>
              </w:trPr>
              <w:tc>
                <w:tcPr>
                  <w:tcW w:w="13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Course</w:t>
                  </w:r>
                </w:p>
              </w:tc>
              <w:tc>
                <w:tcPr>
                  <w:tcW w:w="734" w:type="dxa"/>
                  <w:noWrap/>
                  <w:hideMark/>
                </w:tcPr>
                <w:p w:rsidR="00A52AD1" w:rsidRPr="00A52AD1" w:rsidRDefault="00A52AD1" w:rsidP="00A52AD1">
                  <w:pPr>
                    <w:rPr>
                      <w:rFonts w:eastAsiaTheme="minorEastAsia"/>
                      <w:sz w:val="24"/>
                      <w:szCs w:val="24"/>
                    </w:rPr>
                  </w:pPr>
                  <w:r w:rsidRPr="00A52AD1">
                    <w:rPr>
                      <w:rFonts w:eastAsiaTheme="minorEastAsia"/>
                      <w:sz w:val="24"/>
                      <w:szCs w:val="24"/>
                    </w:rPr>
                    <w:t>units</w:t>
                  </w:r>
                </w:p>
              </w:tc>
              <w:tc>
                <w:tcPr>
                  <w:tcW w:w="1216" w:type="dxa"/>
                  <w:noWrap/>
                  <w:hideMark/>
                </w:tcPr>
                <w:p w:rsidR="00A52AD1" w:rsidRPr="00A52AD1" w:rsidRDefault="00A52AD1" w:rsidP="00A52AD1">
                  <w:pPr>
                    <w:rPr>
                      <w:rFonts w:eastAsiaTheme="minorEastAsia"/>
                      <w:sz w:val="24"/>
                      <w:szCs w:val="24"/>
                    </w:rPr>
                  </w:pPr>
                  <w:r w:rsidRPr="00A52AD1">
                    <w:rPr>
                      <w:rFonts w:eastAsiaTheme="minorEastAsia"/>
                      <w:sz w:val="24"/>
                      <w:szCs w:val="24"/>
                    </w:rPr>
                    <w:t># SLOs Identified</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Spring 2012</w:t>
                  </w:r>
                </w:p>
              </w:tc>
              <w:tc>
                <w:tcPr>
                  <w:tcW w:w="950" w:type="dxa"/>
                  <w:noWrap/>
                  <w:hideMark/>
                </w:tcPr>
                <w:p w:rsidR="00A52AD1" w:rsidRPr="00A52AD1" w:rsidRDefault="00A52AD1" w:rsidP="00A52AD1">
                  <w:pPr>
                    <w:rPr>
                      <w:rFonts w:eastAsiaTheme="minorEastAsia"/>
                      <w:sz w:val="24"/>
                      <w:szCs w:val="24"/>
                    </w:rPr>
                  </w:pPr>
                  <w:r w:rsidRPr="00A52AD1">
                    <w:rPr>
                      <w:rFonts w:eastAsiaTheme="minorEastAsia"/>
                      <w:sz w:val="24"/>
                      <w:szCs w:val="24"/>
                    </w:rPr>
                    <w:t>Fall 2012</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Spring 2013</w:t>
                  </w:r>
                </w:p>
              </w:tc>
              <w:tc>
                <w:tcPr>
                  <w:tcW w:w="748" w:type="dxa"/>
                  <w:noWrap/>
                  <w:hideMark/>
                </w:tcPr>
                <w:p w:rsidR="00A52AD1" w:rsidRPr="00A52AD1" w:rsidRDefault="00A52AD1" w:rsidP="00A52AD1">
                  <w:pPr>
                    <w:rPr>
                      <w:rFonts w:eastAsiaTheme="minorEastAsia"/>
                      <w:sz w:val="24"/>
                      <w:szCs w:val="24"/>
                    </w:rPr>
                  </w:pPr>
                  <w:r w:rsidRPr="00A52AD1">
                    <w:rPr>
                      <w:rFonts w:eastAsiaTheme="minorEastAsia"/>
                      <w:sz w:val="24"/>
                      <w:szCs w:val="24"/>
                    </w:rPr>
                    <w:t>Fall 2013</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Spring 2014</w:t>
                  </w:r>
                </w:p>
              </w:tc>
              <w:tc>
                <w:tcPr>
                  <w:tcW w:w="7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Fall 2014</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Spring 2015</w:t>
                  </w:r>
                </w:p>
              </w:tc>
              <w:tc>
                <w:tcPr>
                  <w:tcW w:w="703" w:type="dxa"/>
                  <w:noWrap/>
                  <w:hideMark/>
                </w:tcPr>
                <w:p w:rsidR="00A52AD1" w:rsidRPr="00A52AD1" w:rsidRDefault="00A52AD1" w:rsidP="00A52AD1">
                  <w:pPr>
                    <w:rPr>
                      <w:rFonts w:eastAsiaTheme="minorEastAsia"/>
                      <w:sz w:val="24"/>
                      <w:szCs w:val="24"/>
                    </w:rPr>
                  </w:pPr>
                  <w:r w:rsidRPr="00A52AD1">
                    <w:rPr>
                      <w:rFonts w:eastAsiaTheme="minorEastAsia"/>
                      <w:sz w:val="24"/>
                      <w:szCs w:val="24"/>
                    </w:rPr>
                    <w:t>Fall 2015</w:t>
                  </w:r>
                </w:p>
              </w:tc>
            </w:tr>
            <w:tr w:rsidR="00A52AD1" w:rsidRPr="00A52AD1" w:rsidTr="0011602C">
              <w:trPr>
                <w:trHeight w:val="345"/>
                <w:jc w:val="center"/>
              </w:trPr>
              <w:tc>
                <w:tcPr>
                  <w:tcW w:w="1360" w:type="dxa"/>
                  <w:hideMark/>
                </w:tcPr>
                <w:p w:rsidR="00A52AD1" w:rsidRPr="00A52AD1" w:rsidRDefault="00A52AD1" w:rsidP="00A52AD1">
                  <w:pPr>
                    <w:rPr>
                      <w:rFonts w:eastAsiaTheme="minorEastAsia"/>
                      <w:sz w:val="24"/>
                      <w:szCs w:val="24"/>
                    </w:rPr>
                  </w:pPr>
                  <w:r w:rsidRPr="00A52AD1">
                    <w:rPr>
                      <w:rFonts w:eastAsiaTheme="minorEastAsia"/>
                      <w:sz w:val="24"/>
                      <w:szCs w:val="24"/>
                    </w:rPr>
                    <w:t>BUS 126</w:t>
                  </w:r>
                </w:p>
              </w:tc>
              <w:tc>
                <w:tcPr>
                  <w:tcW w:w="734" w:type="dxa"/>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1216"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w:t>
                  </w:r>
                </w:p>
              </w:tc>
              <w:tc>
                <w:tcPr>
                  <w:tcW w:w="950" w:type="dxa"/>
                  <w:noWrap/>
                  <w:hideMark/>
                </w:tcPr>
                <w:p w:rsidR="00A52AD1" w:rsidRPr="00A52AD1" w:rsidRDefault="00A52AD1" w:rsidP="00A52AD1">
                  <w:pPr>
                    <w:rPr>
                      <w:rFonts w:eastAsiaTheme="minorEastAsia"/>
                      <w:sz w:val="24"/>
                      <w:szCs w:val="24"/>
                    </w:rPr>
                  </w:pPr>
                  <w:r w:rsidRPr="00A52AD1">
                    <w:rPr>
                      <w:rFonts w:eastAsiaTheme="minorEastAsia"/>
                      <w:sz w:val="24"/>
                      <w:szCs w:val="24"/>
                    </w:rPr>
                    <w:t>2</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3</w:t>
                  </w:r>
                </w:p>
              </w:tc>
              <w:tc>
                <w:tcPr>
                  <w:tcW w:w="74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03"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r>
            <w:tr w:rsidR="0072165A" w:rsidRPr="00A52AD1" w:rsidTr="0011602C">
              <w:trPr>
                <w:trHeight w:val="330"/>
                <w:jc w:val="center"/>
              </w:trPr>
              <w:tc>
                <w:tcPr>
                  <w:tcW w:w="1360" w:type="dxa"/>
                </w:tcPr>
                <w:p w:rsidR="0072165A" w:rsidRPr="0072165A" w:rsidRDefault="0072165A" w:rsidP="0072165A">
                  <w:pPr>
                    <w:rPr>
                      <w:sz w:val="24"/>
                      <w:szCs w:val="24"/>
                    </w:rPr>
                  </w:pPr>
                  <w:r w:rsidRPr="0072165A">
                    <w:rPr>
                      <w:sz w:val="24"/>
                      <w:szCs w:val="24"/>
                    </w:rPr>
                    <w:t>BUS 132</w:t>
                  </w:r>
                </w:p>
              </w:tc>
              <w:tc>
                <w:tcPr>
                  <w:tcW w:w="734" w:type="dxa"/>
                </w:tcPr>
                <w:p w:rsidR="0072165A" w:rsidRPr="0072165A" w:rsidRDefault="0072165A" w:rsidP="0072165A">
                  <w:pPr>
                    <w:rPr>
                      <w:sz w:val="24"/>
                      <w:szCs w:val="24"/>
                    </w:rPr>
                  </w:pPr>
                  <w:r w:rsidRPr="0072165A">
                    <w:rPr>
                      <w:sz w:val="24"/>
                      <w:szCs w:val="24"/>
                    </w:rPr>
                    <w:t>3</w:t>
                  </w:r>
                </w:p>
              </w:tc>
              <w:tc>
                <w:tcPr>
                  <w:tcW w:w="1216" w:type="dxa"/>
                  <w:noWrap/>
                </w:tcPr>
                <w:p w:rsidR="0072165A" w:rsidRPr="0072165A" w:rsidRDefault="0072165A" w:rsidP="0072165A">
                  <w:pPr>
                    <w:rPr>
                      <w:sz w:val="24"/>
                      <w:szCs w:val="24"/>
                    </w:rPr>
                  </w:pPr>
                  <w:r w:rsidRPr="0072165A">
                    <w:rPr>
                      <w:sz w:val="24"/>
                      <w:szCs w:val="24"/>
                    </w:rPr>
                    <w:t>4</w:t>
                  </w:r>
                </w:p>
              </w:tc>
              <w:tc>
                <w:tcPr>
                  <w:tcW w:w="888" w:type="dxa"/>
                  <w:noWrap/>
                </w:tcPr>
                <w:p w:rsidR="0072165A" w:rsidRPr="0072165A" w:rsidRDefault="0072165A" w:rsidP="0072165A">
                  <w:pPr>
                    <w:rPr>
                      <w:sz w:val="24"/>
                      <w:szCs w:val="24"/>
                    </w:rPr>
                  </w:pPr>
                  <w:r w:rsidRPr="0072165A">
                    <w:rPr>
                      <w:sz w:val="24"/>
                      <w:szCs w:val="24"/>
                    </w:rPr>
                    <w:t>2</w:t>
                  </w:r>
                </w:p>
              </w:tc>
              <w:tc>
                <w:tcPr>
                  <w:tcW w:w="950" w:type="dxa"/>
                  <w:noWrap/>
                </w:tcPr>
                <w:p w:rsidR="0072165A" w:rsidRPr="0072165A" w:rsidRDefault="0072165A" w:rsidP="0072165A">
                  <w:pPr>
                    <w:rPr>
                      <w:sz w:val="24"/>
                      <w:szCs w:val="24"/>
                    </w:rPr>
                  </w:pPr>
                  <w:r w:rsidRPr="0072165A">
                    <w:rPr>
                      <w:sz w:val="24"/>
                      <w:szCs w:val="24"/>
                    </w:rPr>
                    <w:t>3</w:t>
                  </w:r>
                </w:p>
              </w:tc>
              <w:tc>
                <w:tcPr>
                  <w:tcW w:w="888" w:type="dxa"/>
                  <w:noWrap/>
                </w:tcPr>
                <w:p w:rsidR="0072165A" w:rsidRPr="0072165A" w:rsidRDefault="0072165A" w:rsidP="0072165A">
                  <w:pPr>
                    <w:rPr>
                      <w:sz w:val="24"/>
                      <w:szCs w:val="24"/>
                    </w:rPr>
                  </w:pPr>
                </w:p>
              </w:tc>
              <w:tc>
                <w:tcPr>
                  <w:tcW w:w="748" w:type="dxa"/>
                  <w:noWrap/>
                </w:tcPr>
                <w:p w:rsidR="0072165A" w:rsidRPr="0072165A" w:rsidRDefault="0072165A" w:rsidP="0072165A">
                  <w:pPr>
                    <w:rPr>
                      <w:sz w:val="24"/>
                      <w:szCs w:val="24"/>
                    </w:rPr>
                  </w:pPr>
                  <w:r w:rsidRPr="0072165A">
                    <w:rPr>
                      <w:sz w:val="24"/>
                      <w:szCs w:val="24"/>
                    </w:rPr>
                    <w:t>4</w:t>
                  </w:r>
                </w:p>
              </w:tc>
              <w:tc>
                <w:tcPr>
                  <w:tcW w:w="888" w:type="dxa"/>
                  <w:noWrap/>
                </w:tcPr>
                <w:p w:rsidR="0072165A" w:rsidRDefault="0072165A" w:rsidP="0072165A"/>
              </w:tc>
              <w:tc>
                <w:tcPr>
                  <w:tcW w:w="760" w:type="dxa"/>
                  <w:noWrap/>
                </w:tcPr>
                <w:p w:rsidR="0072165A" w:rsidRPr="00C35C14" w:rsidRDefault="0072165A" w:rsidP="0072165A"/>
              </w:tc>
              <w:tc>
                <w:tcPr>
                  <w:tcW w:w="888" w:type="dxa"/>
                  <w:noWrap/>
                </w:tcPr>
                <w:p w:rsidR="0072165A" w:rsidRPr="00C35C14" w:rsidRDefault="0072165A" w:rsidP="0072165A"/>
              </w:tc>
              <w:tc>
                <w:tcPr>
                  <w:tcW w:w="703" w:type="dxa"/>
                  <w:noWrap/>
                </w:tcPr>
                <w:p w:rsidR="0072165A" w:rsidRPr="00C35C14" w:rsidRDefault="0072165A" w:rsidP="0072165A"/>
              </w:tc>
            </w:tr>
            <w:tr w:rsidR="0072165A" w:rsidRPr="00A52AD1" w:rsidTr="0011602C">
              <w:trPr>
                <w:trHeight w:val="330"/>
                <w:jc w:val="center"/>
              </w:trPr>
              <w:tc>
                <w:tcPr>
                  <w:tcW w:w="1360" w:type="dxa"/>
                </w:tcPr>
                <w:p w:rsidR="0072165A" w:rsidRPr="00A52AD1" w:rsidRDefault="0072165A" w:rsidP="00A52AD1">
                  <w:pPr>
                    <w:rPr>
                      <w:rFonts w:eastAsiaTheme="minorEastAsia"/>
                      <w:sz w:val="24"/>
                      <w:szCs w:val="24"/>
                    </w:rPr>
                  </w:pPr>
                  <w:r>
                    <w:rPr>
                      <w:rFonts w:eastAsiaTheme="minorEastAsia"/>
                      <w:sz w:val="24"/>
                      <w:szCs w:val="24"/>
                    </w:rPr>
                    <w:t>BUS 144</w:t>
                  </w:r>
                </w:p>
              </w:tc>
              <w:tc>
                <w:tcPr>
                  <w:tcW w:w="734" w:type="dxa"/>
                </w:tcPr>
                <w:p w:rsidR="0072165A" w:rsidRPr="00A52AD1" w:rsidRDefault="0072165A" w:rsidP="00A52AD1">
                  <w:pPr>
                    <w:rPr>
                      <w:rFonts w:eastAsiaTheme="minorEastAsia"/>
                      <w:sz w:val="24"/>
                      <w:szCs w:val="24"/>
                    </w:rPr>
                  </w:pPr>
                  <w:r>
                    <w:rPr>
                      <w:rFonts w:eastAsiaTheme="minorEastAsia"/>
                      <w:sz w:val="24"/>
                      <w:szCs w:val="24"/>
                    </w:rPr>
                    <w:t>3</w:t>
                  </w:r>
                </w:p>
              </w:tc>
              <w:tc>
                <w:tcPr>
                  <w:tcW w:w="1216" w:type="dxa"/>
                  <w:noWrap/>
                </w:tcPr>
                <w:p w:rsidR="0072165A" w:rsidRPr="00A52AD1" w:rsidRDefault="00691060" w:rsidP="00A52AD1">
                  <w:pPr>
                    <w:rPr>
                      <w:rFonts w:eastAsiaTheme="minorEastAsia"/>
                      <w:sz w:val="24"/>
                      <w:szCs w:val="24"/>
                    </w:rPr>
                  </w:pPr>
                  <w:r>
                    <w:rPr>
                      <w:rFonts w:eastAsiaTheme="minorEastAsia"/>
                      <w:sz w:val="24"/>
                      <w:szCs w:val="24"/>
                    </w:rPr>
                    <w:t>4</w:t>
                  </w:r>
                </w:p>
              </w:tc>
              <w:tc>
                <w:tcPr>
                  <w:tcW w:w="888" w:type="dxa"/>
                  <w:noWrap/>
                </w:tcPr>
                <w:p w:rsidR="0072165A" w:rsidRPr="00A52AD1" w:rsidRDefault="00691060" w:rsidP="00A52AD1">
                  <w:pPr>
                    <w:rPr>
                      <w:rFonts w:eastAsiaTheme="minorEastAsia"/>
                      <w:sz w:val="24"/>
                      <w:szCs w:val="24"/>
                    </w:rPr>
                  </w:pPr>
                  <w:r>
                    <w:rPr>
                      <w:rFonts w:eastAsiaTheme="minorEastAsia"/>
                      <w:sz w:val="24"/>
                      <w:szCs w:val="24"/>
                    </w:rPr>
                    <w:t>4</w:t>
                  </w:r>
                </w:p>
              </w:tc>
              <w:tc>
                <w:tcPr>
                  <w:tcW w:w="950" w:type="dxa"/>
                  <w:noWrap/>
                </w:tcPr>
                <w:p w:rsidR="0072165A" w:rsidRPr="00A52AD1" w:rsidRDefault="0072165A" w:rsidP="00A52AD1">
                  <w:pPr>
                    <w:rPr>
                      <w:rFonts w:eastAsiaTheme="minorEastAsia"/>
                      <w:sz w:val="24"/>
                      <w:szCs w:val="24"/>
                    </w:rPr>
                  </w:pPr>
                </w:p>
              </w:tc>
              <w:tc>
                <w:tcPr>
                  <w:tcW w:w="888" w:type="dxa"/>
                  <w:noWrap/>
                </w:tcPr>
                <w:p w:rsidR="00691060" w:rsidRPr="00A52AD1" w:rsidRDefault="00691060" w:rsidP="00A52AD1">
                  <w:pPr>
                    <w:rPr>
                      <w:rFonts w:eastAsiaTheme="minorEastAsia"/>
                      <w:sz w:val="24"/>
                      <w:szCs w:val="24"/>
                    </w:rPr>
                  </w:pPr>
                  <w:r>
                    <w:rPr>
                      <w:rFonts w:eastAsiaTheme="minorEastAsia"/>
                      <w:sz w:val="24"/>
                      <w:szCs w:val="24"/>
                    </w:rPr>
                    <w:t>1</w:t>
                  </w:r>
                </w:p>
              </w:tc>
              <w:tc>
                <w:tcPr>
                  <w:tcW w:w="748" w:type="dxa"/>
                  <w:noWrap/>
                </w:tcPr>
                <w:p w:rsidR="0072165A" w:rsidRPr="00A52AD1" w:rsidRDefault="0072165A" w:rsidP="00A52AD1">
                  <w:pPr>
                    <w:rPr>
                      <w:rFonts w:eastAsiaTheme="minorEastAsia"/>
                      <w:sz w:val="24"/>
                      <w:szCs w:val="24"/>
                    </w:rPr>
                  </w:pPr>
                </w:p>
              </w:tc>
              <w:tc>
                <w:tcPr>
                  <w:tcW w:w="888" w:type="dxa"/>
                  <w:noWrap/>
                </w:tcPr>
                <w:p w:rsidR="0072165A" w:rsidRPr="00A52AD1" w:rsidRDefault="0072165A" w:rsidP="00A52AD1">
                  <w:pPr>
                    <w:rPr>
                      <w:rFonts w:eastAsiaTheme="minorEastAsia"/>
                      <w:sz w:val="24"/>
                      <w:szCs w:val="24"/>
                    </w:rPr>
                  </w:pPr>
                </w:p>
              </w:tc>
              <w:tc>
                <w:tcPr>
                  <w:tcW w:w="760" w:type="dxa"/>
                  <w:noWrap/>
                </w:tcPr>
                <w:p w:rsidR="0072165A" w:rsidRPr="00A52AD1" w:rsidRDefault="0072165A" w:rsidP="00A52AD1">
                  <w:pPr>
                    <w:rPr>
                      <w:rFonts w:eastAsiaTheme="minorEastAsia"/>
                      <w:sz w:val="24"/>
                      <w:szCs w:val="24"/>
                    </w:rPr>
                  </w:pPr>
                </w:p>
              </w:tc>
              <w:tc>
                <w:tcPr>
                  <w:tcW w:w="888" w:type="dxa"/>
                  <w:noWrap/>
                </w:tcPr>
                <w:p w:rsidR="0072165A" w:rsidRPr="00A52AD1" w:rsidRDefault="0072165A" w:rsidP="00A52AD1">
                  <w:pPr>
                    <w:rPr>
                      <w:rFonts w:eastAsiaTheme="minorEastAsia"/>
                      <w:sz w:val="24"/>
                      <w:szCs w:val="24"/>
                    </w:rPr>
                  </w:pPr>
                </w:p>
              </w:tc>
              <w:tc>
                <w:tcPr>
                  <w:tcW w:w="703" w:type="dxa"/>
                  <w:noWrap/>
                </w:tcPr>
                <w:p w:rsidR="0072165A" w:rsidRPr="00A52AD1" w:rsidRDefault="0072165A" w:rsidP="00A52AD1">
                  <w:pPr>
                    <w:rPr>
                      <w:rFonts w:eastAsiaTheme="minorEastAsia"/>
                      <w:sz w:val="24"/>
                      <w:szCs w:val="24"/>
                    </w:rPr>
                  </w:pPr>
                </w:p>
              </w:tc>
            </w:tr>
            <w:tr w:rsidR="00A52AD1" w:rsidRPr="00A52AD1" w:rsidTr="0011602C">
              <w:trPr>
                <w:trHeight w:val="330"/>
                <w:jc w:val="center"/>
              </w:trPr>
              <w:tc>
                <w:tcPr>
                  <w:tcW w:w="1360" w:type="dxa"/>
                  <w:hideMark/>
                </w:tcPr>
                <w:p w:rsidR="00A52AD1" w:rsidRPr="00A52AD1" w:rsidRDefault="00A52AD1" w:rsidP="00A52AD1">
                  <w:pPr>
                    <w:rPr>
                      <w:rFonts w:eastAsiaTheme="minorEastAsia"/>
                      <w:sz w:val="24"/>
                      <w:szCs w:val="24"/>
                    </w:rPr>
                  </w:pPr>
                  <w:r w:rsidRPr="00A52AD1">
                    <w:rPr>
                      <w:rFonts w:eastAsiaTheme="minorEastAsia"/>
                      <w:sz w:val="24"/>
                      <w:szCs w:val="24"/>
                    </w:rPr>
                    <w:t>BUS 210</w:t>
                  </w:r>
                </w:p>
              </w:tc>
              <w:tc>
                <w:tcPr>
                  <w:tcW w:w="734" w:type="dxa"/>
                  <w:hideMark/>
                </w:tcPr>
                <w:p w:rsidR="00A52AD1" w:rsidRPr="00A52AD1" w:rsidRDefault="00A52AD1" w:rsidP="00A52AD1">
                  <w:pPr>
                    <w:rPr>
                      <w:rFonts w:eastAsiaTheme="minorEastAsia"/>
                      <w:sz w:val="24"/>
                      <w:szCs w:val="24"/>
                    </w:rPr>
                  </w:pPr>
                  <w:r w:rsidRPr="00A52AD1">
                    <w:rPr>
                      <w:rFonts w:eastAsiaTheme="minorEastAsia"/>
                      <w:sz w:val="24"/>
                      <w:szCs w:val="24"/>
                    </w:rPr>
                    <w:t>4</w:t>
                  </w:r>
                </w:p>
              </w:tc>
              <w:tc>
                <w:tcPr>
                  <w:tcW w:w="1216" w:type="dxa"/>
                  <w:noWrap/>
                  <w:hideMark/>
                </w:tcPr>
                <w:p w:rsidR="00A52AD1" w:rsidRPr="00A52AD1" w:rsidRDefault="00A52AD1" w:rsidP="00A52AD1">
                  <w:pPr>
                    <w:rPr>
                      <w:rFonts w:eastAsiaTheme="minorEastAsia"/>
                      <w:sz w:val="24"/>
                      <w:szCs w:val="24"/>
                    </w:rPr>
                  </w:pPr>
                  <w:r w:rsidRPr="00A52AD1">
                    <w:rPr>
                      <w:rFonts w:eastAsiaTheme="minorEastAsia"/>
                      <w:sz w:val="24"/>
                      <w:szCs w:val="24"/>
                    </w:rPr>
                    <w:t>4</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1,2,3</w:t>
                  </w:r>
                </w:p>
              </w:tc>
              <w:tc>
                <w:tcPr>
                  <w:tcW w:w="950" w:type="dxa"/>
                  <w:noWrap/>
                  <w:hideMark/>
                </w:tcPr>
                <w:p w:rsidR="00A52AD1" w:rsidRPr="00A52AD1" w:rsidRDefault="00A52AD1" w:rsidP="00A52AD1">
                  <w:pPr>
                    <w:rPr>
                      <w:rFonts w:eastAsiaTheme="minorEastAsia"/>
                      <w:sz w:val="24"/>
                      <w:szCs w:val="24"/>
                    </w:rPr>
                  </w:pPr>
                  <w:r w:rsidRPr="00A52AD1">
                    <w:rPr>
                      <w:rFonts w:eastAsiaTheme="minorEastAsia"/>
                      <w:sz w:val="24"/>
                      <w:szCs w:val="24"/>
                    </w:rPr>
                    <w:t>1</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2</w:t>
                  </w:r>
                </w:p>
              </w:tc>
              <w:tc>
                <w:tcPr>
                  <w:tcW w:w="74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03"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r>
            <w:tr w:rsidR="00A52AD1" w:rsidRPr="00A52AD1" w:rsidTr="0011602C">
              <w:trPr>
                <w:trHeight w:val="330"/>
                <w:jc w:val="center"/>
              </w:trPr>
              <w:tc>
                <w:tcPr>
                  <w:tcW w:w="1360" w:type="dxa"/>
                  <w:hideMark/>
                </w:tcPr>
                <w:p w:rsidR="00A52AD1" w:rsidRPr="00A52AD1" w:rsidRDefault="00A52AD1" w:rsidP="00A52AD1">
                  <w:pPr>
                    <w:rPr>
                      <w:rFonts w:eastAsiaTheme="minorEastAsia"/>
                      <w:sz w:val="24"/>
                      <w:szCs w:val="24"/>
                    </w:rPr>
                  </w:pPr>
                  <w:r w:rsidRPr="00A52AD1">
                    <w:rPr>
                      <w:rFonts w:eastAsiaTheme="minorEastAsia"/>
                      <w:sz w:val="24"/>
                      <w:szCs w:val="24"/>
                    </w:rPr>
                    <w:t>BUS 220</w:t>
                  </w:r>
                </w:p>
              </w:tc>
              <w:tc>
                <w:tcPr>
                  <w:tcW w:w="734" w:type="dxa"/>
                  <w:hideMark/>
                </w:tcPr>
                <w:p w:rsidR="00A52AD1" w:rsidRPr="00A52AD1" w:rsidRDefault="00A52AD1" w:rsidP="00A52AD1">
                  <w:pPr>
                    <w:rPr>
                      <w:rFonts w:eastAsiaTheme="minorEastAsia"/>
                      <w:sz w:val="24"/>
                      <w:szCs w:val="24"/>
                    </w:rPr>
                  </w:pPr>
                  <w:r w:rsidRPr="00A52AD1">
                    <w:rPr>
                      <w:rFonts w:eastAsiaTheme="minorEastAsia"/>
                      <w:sz w:val="24"/>
                      <w:szCs w:val="24"/>
                    </w:rPr>
                    <w:t>4</w:t>
                  </w:r>
                </w:p>
              </w:tc>
              <w:tc>
                <w:tcPr>
                  <w:tcW w:w="1216" w:type="dxa"/>
                  <w:noWrap/>
                  <w:hideMark/>
                </w:tcPr>
                <w:p w:rsidR="00A52AD1" w:rsidRPr="00A52AD1" w:rsidRDefault="00A52AD1" w:rsidP="00A52AD1">
                  <w:pPr>
                    <w:rPr>
                      <w:rFonts w:eastAsiaTheme="minorEastAsia"/>
                      <w:sz w:val="24"/>
                      <w:szCs w:val="24"/>
                    </w:rPr>
                  </w:pPr>
                  <w:r w:rsidRPr="00A52AD1">
                    <w:rPr>
                      <w:rFonts w:eastAsiaTheme="minorEastAsia"/>
                      <w:sz w:val="24"/>
                      <w:szCs w:val="24"/>
                    </w:rPr>
                    <w:t>4</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950" w:type="dxa"/>
                  <w:noWrap/>
                  <w:hideMark/>
                </w:tcPr>
                <w:p w:rsidR="00A52AD1" w:rsidRPr="00A52AD1" w:rsidRDefault="00A52AD1" w:rsidP="00A52AD1">
                  <w:pPr>
                    <w:rPr>
                      <w:rFonts w:eastAsiaTheme="minorEastAsia"/>
                      <w:sz w:val="24"/>
                      <w:szCs w:val="24"/>
                    </w:rPr>
                  </w:pPr>
                  <w:r w:rsidRPr="00A52AD1">
                    <w:rPr>
                      <w:rFonts w:eastAsiaTheme="minorEastAsia"/>
                      <w:sz w:val="24"/>
                      <w:szCs w:val="24"/>
                    </w:rPr>
                    <w:t>1</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2</w:t>
                  </w:r>
                </w:p>
              </w:tc>
              <w:tc>
                <w:tcPr>
                  <w:tcW w:w="74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03"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r>
            <w:tr w:rsidR="00A52AD1" w:rsidRPr="00A52AD1" w:rsidTr="0011602C">
              <w:trPr>
                <w:trHeight w:val="330"/>
                <w:jc w:val="center"/>
              </w:trPr>
              <w:tc>
                <w:tcPr>
                  <w:tcW w:w="1360" w:type="dxa"/>
                  <w:hideMark/>
                </w:tcPr>
                <w:p w:rsidR="00A52AD1" w:rsidRPr="00A52AD1" w:rsidRDefault="00A52AD1" w:rsidP="00A52AD1">
                  <w:pPr>
                    <w:rPr>
                      <w:rFonts w:eastAsiaTheme="minorEastAsia"/>
                      <w:sz w:val="24"/>
                      <w:szCs w:val="24"/>
                    </w:rPr>
                  </w:pPr>
                  <w:r w:rsidRPr="00A52AD1">
                    <w:rPr>
                      <w:rFonts w:eastAsiaTheme="minorEastAsia"/>
                      <w:sz w:val="24"/>
                      <w:szCs w:val="24"/>
                    </w:rPr>
                    <w:t>BUS 260</w:t>
                  </w:r>
                </w:p>
              </w:tc>
              <w:tc>
                <w:tcPr>
                  <w:tcW w:w="734" w:type="dxa"/>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1216"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950" w:type="dxa"/>
                  <w:noWrap/>
                  <w:hideMark/>
                </w:tcPr>
                <w:p w:rsidR="00A52AD1" w:rsidRPr="00A52AD1" w:rsidRDefault="00A52AD1" w:rsidP="00A52AD1">
                  <w:pPr>
                    <w:rPr>
                      <w:rFonts w:eastAsiaTheme="minorEastAsia"/>
                      <w:sz w:val="24"/>
                      <w:szCs w:val="24"/>
                    </w:rPr>
                  </w:pPr>
                  <w:r w:rsidRPr="00A52AD1">
                    <w:rPr>
                      <w:rFonts w:eastAsiaTheme="minorEastAsia"/>
                      <w:sz w:val="24"/>
                      <w:szCs w:val="24"/>
                    </w:rPr>
                    <w:t>4</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1 </w:t>
                  </w:r>
                </w:p>
              </w:tc>
              <w:tc>
                <w:tcPr>
                  <w:tcW w:w="748" w:type="dxa"/>
                  <w:noWrap/>
                  <w:hideMark/>
                </w:tcPr>
                <w:p w:rsidR="00A52AD1" w:rsidRPr="00A52AD1" w:rsidRDefault="00A52AD1" w:rsidP="00A52AD1">
                  <w:pPr>
                    <w:rPr>
                      <w:rFonts w:eastAsiaTheme="minorEastAsia"/>
                      <w:sz w:val="24"/>
                      <w:szCs w:val="24"/>
                    </w:rPr>
                  </w:pPr>
                  <w:r w:rsidRPr="00A52AD1">
                    <w:rPr>
                      <w:rFonts w:eastAsiaTheme="minorEastAsia"/>
                      <w:sz w:val="24"/>
                      <w:szCs w:val="24"/>
                    </w:rPr>
                    <w:t>2 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03"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r>
            <w:tr w:rsidR="00A52AD1" w:rsidRPr="00A52AD1" w:rsidTr="0011602C">
              <w:trPr>
                <w:trHeight w:val="330"/>
                <w:jc w:val="center"/>
              </w:trPr>
              <w:tc>
                <w:tcPr>
                  <w:tcW w:w="1360" w:type="dxa"/>
                  <w:hideMark/>
                </w:tcPr>
                <w:p w:rsidR="00A52AD1" w:rsidRPr="00A52AD1" w:rsidRDefault="00A52AD1" w:rsidP="00A52AD1">
                  <w:pPr>
                    <w:rPr>
                      <w:rFonts w:eastAsiaTheme="minorEastAsia"/>
                      <w:sz w:val="24"/>
                      <w:szCs w:val="24"/>
                    </w:rPr>
                  </w:pPr>
                  <w:r w:rsidRPr="00A52AD1">
                    <w:rPr>
                      <w:rFonts w:eastAsiaTheme="minorEastAsia"/>
                      <w:sz w:val="24"/>
                      <w:szCs w:val="24"/>
                    </w:rPr>
                    <w:t>ECON 101</w:t>
                  </w:r>
                </w:p>
              </w:tc>
              <w:tc>
                <w:tcPr>
                  <w:tcW w:w="734" w:type="dxa"/>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1216"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2</w:t>
                  </w:r>
                </w:p>
              </w:tc>
              <w:tc>
                <w:tcPr>
                  <w:tcW w:w="950"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1 </w:t>
                  </w:r>
                </w:p>
              </w:tc>
              <w:tc>
                <w:tcPr>
                  <w:tcW w:w="748" w:type="dxa"/>
                  <w:noWrap/>
                  <w:hideMark/>
                </w:tcPr>
                <w:p w:rsidR="00A52AD1" w:rsidRPr="00A52AD1" w:rsidRDefault="00A52AD1" w:rsidP="00A52AD1">
                  <w:pPr>
                    <w:rPr>
                      <w:rFonts w:eastAsiaTheme="minorEastAsia"/>
                      <w:sz w:val="24"/>
                      <w:szCs w:val="24"/>
                    </w:rPr>
                  </w:pPr>
                  <w:r w:rsidRPr="00A52AD1">
                    <w:rPr>
                      <w:rFonts w:eastAsiaTheme="minorEastAsia"/>
                      <w:sz w:val="24"/>
                      <w:szCs w:val="24"/>
                    </w:rPr>
                    <w:t>2 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03"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r>
            <w:tr w:rsidR="00A52AD1" w:rsidRPr="00A52AD1" w:rsidTr="0011602C">
              <w:trPr>
                <w:trHeight w:val="330"/>
                <w:jc w:val="center"/>
              </w:trPr>
              <w:tc>
                <w:tcPr>
                  <w:tcW w:w="1360" w:type="dxa"/>
                  <w:hideMark/>
                </w:tcPr>
                <w:p w:rsidR="00A52AD1" w:rsidRPr="00A52AD1" w:rsidRDefault="00A52AD1" w:rsidP="00A52AD1">
                  <w:pPr>
                    <w:rPr>
                      <w:rFonts w:eastAsiaTheme="minorEastAsia"/>
                      <w:sz w:val="24"/>
                      <w:szCs w:val="24"/>
                    </w:rPr>
                  </w:pPr>
                  <w:r w:rsidRPr="00A52AD1">
                    <w:rPr>
                      <w:rFonts w:eastAsiaTheme="minorEastAsia"/>
                      <w:sz w:val="24"/>
                      <w:szCs w:val="24"/>
                    </w:rPr>
                    <w:t>ECON 102</w:t>
                  </w:r>
                </w:p>
              </w:tc>
              <w:tc>
                <w:tcPr>
                  <w:tcW w:w="734" w:type="dxa"/>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1216"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2</w:t>
                  </w:r>
                </w:p>
              </w:tc>
              <w:tc>
                <w:tcPr>
                  <w:tcW w:w="950" w:type="dxa"/>
                  <w:noWrap/>
                  <w:hideMark/>
                </w:tcPr>
                <w:p w:rsidR="00A52AD1" w:rsidRPr="00A52AD1" w:rsidRDefault="00A52AD1" w:rsidP="00A52AD1">
                  <w:pPr>
                    <w:rPr>
                      <w:rFonts w:eastAsiaTheme="minorEastAsia"/>
                      <w:sz w:val="24"/>
                      <w:szCs w:val="24"/>
                    </w:rPr>
                  </w:pPr>
                  <w:r w:rsidRPr="00A52AD1">
                    <w:rPr>
                      <w:rFonts w:eastAsiaTheme="minorEastAsia"/>
                      <w:sz w:val="24"/>
                      <w:szCs w:val="24"/>
                    </w:rPr>
                    <w:t>3</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1</w:t>
                  </w:r>
                </w:p>
              </w:tc>
              <w:tc>
                <w:tcPr>
                  <w:tcW w:w="748" w:type="dxa"/>
                  <w:noWrap/>
                  <w:hideMark/>
                </w:tcPr>
                <w:p w:rsidR="00A52AD1" w:rsidRPr="00A52AD1" w:rsidRDefault="00A52AD1" w:rsidP="00A52AD1">
                  <w:pPr>
                    <w:rPr>
                      <w:rFonts w:eastAsiaTheme="minorEastAsia"/>
                      <w:sz w:val="24"/>
                      <w:szCs w:val="24"/>
                    </w:rPr>
                  </w:pPr>
                  <w:r w:rsidRPr="00A52AD1">
                    <w:rPr>
                      <w:rFonts w:eastAsiaTheme="minorEastAsia"/>
                      <w:sz w:val="24"/>
                      <w:szCs w:val="24"/>
                    </w:rPr>
                    <w:t>2 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60"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888"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c>
                <w:tcPr>
                  <w:tcW w:w="703" w:type="dxa"/>
                  <w:noWrap/>
                  <w:hideMark/>
                </w:tcPr>
                <w:p w:rsidR="00A52AD1" w:rsidRPr="00A52AD1" w:rsidRDefault="00A52AD1" w:rsidP="00A52AD1">
                  <w:pPr>
                    <w:rPr>
                      <w:rFonts w:eastAsiaTheme="minorEastAsia"/>
                      <w:sz w:val="24"/>
                      <w:szCs w:val="24"/>
                    </w:rPr>
                  </w:pPr>
                  <w:r w:rsidRPr="00A52AD1">
                    <w:rPr>
                      <w:rFonts w:eastAsiaTheme="minorEastAsia"/>
                      <w:sz w:val="24"/>
                      <w:szCs w:val="24"/>
                    </w:rPr>
                    <w:t> </w:t>
                  </w:r>
                </w:p>
              </w:tc>
            </w:tr>
          </w:tbl>
          <w:p w:rsidR="00A52AD1" w:rsidRPr="00A52AD1" w:rsidRDefault="00A52AD1" w:rsidP="00A52AD1">
            <w:pPr>
              <w:rPr>
                <w:rFonts w:eastAsiaTheme="minorEastAsia"/>
                <w:sz w:val="24"/>
                <w:szCs w:val="24"/>
              </w:rPr>
            </w:pPr>
            <w:r w:rsidRPr="00A52AD1">
              <w:rPr>
                <w:rFonts w:eastAsiaTheme="minorEastAsia"/>
                <w:sz w:val="24"/>
                <w:szCs w:val="24"/>
              </w:rPr>
              <w:fldChar w:fldCharType="begin"/>
            </w:r>
            <w:r w:rsidRPr="00A52AD1">
              <w:rPr>
                <w:rFonts w:eastAsiaTheme="minorEastAsia"/>
                <w:sz w:val="24"/>
                <w:szCs w:val="24"/>
              </w:rPr>
              <w:instrText xml:space="preserve"> LINK </w:instrText>
            </w:r>
            <w:r w:rsidR="000F0A5A">
              <w:rPr>
                <w:rFonts w:eastAsiaTheme="minorEastAsia"/>
                <w:sz w:val="24"/>
                <w:szCs w:val="24"/>
              </w:rPr>
              <w:instrText xml:space="preserve">Excel.Sheet.12 "\\\\IT903S-MYDOCS\\My Docs\\craig.blek\\Documents\\Department Chair\\Program Review 2012-2013\\SLO Checklist 2011-2015.xlsx" BA!R1C1:R7C12 </w:instrText>
            </w:r>
            <w:r w:rsidRPr="00A52AD1">
              <w:rPr>
                <w:rFonts w:eastAsiaTheme="minorEastAsia"/>
                <w:sz w:val="24"/>
                <w:szCs w:val="24"/>
              </w:rPr>
              <w:instrText xml:space="preserve">\a \f 5 \h  \* MERGEFORMAT </w:instrText>
            </w:r>
            <w:r w:rsidRPr="00A52AD1">
              <w:rPr>
                <w:rFonts w:eastAsiaTheme="minorEastAsia"/>
                <w:sz w:val="24"/>
                <w:szCs w:val="24"/>
              </w:rPr>
              <w:fldChar w:fldCharType="separate"/>
            </w:r>
          </w:p>
          <w:p w:rsidR="00A52AD1" w:rsidRPr="00A52AD1" w:rsidRDefault="00A52AD1" w:rsidP="001A3688">
            <w:pPr>
              <w:ind w:right="-1440"/>
              <w:rPr>
                <w:rFonts w:eastAsiaTheme="minorEastAsia"/>
                <w:sz w:val="24"/>
                <w:szCs w:val="24"/>
              </w:rPr>
            </w:pPr>
            <w:r w:rsidRPr="00A52AD1">
              <w:rPr>
                <w:rFonts w:eastAsiaTheme="minorEastAsia"/>
                <w:sz w:val="24"/>
                <w:szCs w:val="24"/>
              </w:rPr>
              <w:fldChar w:fldCharType="end"/>
            </w:r>
            <w:r w:rsidRPr="00A52AD1">
              <w:rPr>
                <w:rFonts w:eastAsiaTheme="minorEastAsia"/>
                <w:sz w:val="24"/>
                <w:szCs w:val="24"/>
              </w:rPr>
              <w:t>Student Learning Outcomes Assessment:</w:t>
            </w:r>
          </w:p>
          <w:p w:rsidR="00A52AD1" w:rsidRPr="00A52AD1" w:rsidRDefault="00A52AD1" w:rsidP="00A52AD1">
            <w:pPr>
              <w:rPr>
                <w:rFonts w:eastAsiaTheme="minorEastAsia"/>
                <w:sz w:val="24"/>
                <w:szCs w:val="24"/>
              </w:rPr>
            </w:pPr>
          </w:p>
          <w:p w:rsidR="00A52AD1" w:rsidRDefault="00A52AD1" w:rsidP="00A52AD1">
            <w:pPr>
              <w:rPr>
                <w:rFonts w:eastAsiaTheme="minorEastAsia"/>
                <w:sz w:val="24"/>
                <w:szCs w:val="24"/>
              </w:rPr>
            </w:pPr>
            <w:r w:rsidRPr="00A52AD1">
              <w:rPr>
                <w:rFonts w:eastAsiaTheme="minorEastAsia"/>
                <w:sz w:val="24"/>
                <w:szCs w:val="24"/>
              </w:rPr>
              <w:t>All SLO’s in the program have been assessed at least once.  BUS 210 and BUS 220 SLO's were updated in the Fall of 2013.  The department continues to monitor, assess and update SLO’s as necessary.</w:t>
            </w:r>
          </w:p>
          <w:p w:rsidR="00CB6851" w:rsidRDefault="00CB6851" w:rsidP="00CB6851">
            <w:pPr>
              <w:jc w:val="center"/>
              <w:rPr>
                <w:rFonts w:eastAsiaTheme="minorEastAsia"/>
                <w:sz w:val="24"/>
                <w:szCs w:val="24"/>
              </w:rPr>
            </w:pPr>
          </w:p>
          <w:p w:rsidR="00CB6851" w:rsidRDefault="00CB6851" w:rsidP="00CB6851">
            <w:pPr>
              <w:jc w:val="center"/>
              <w:rPr>
                <w:rFonts w:eastAsiaTheme="minorEastAsia"/>
                <w:sz w:val="24"/>
                <w:szCs w:val="24"/>
              </w:rPr>
            </w:pPr>
            <w:r>
              <w:rPr>
                <w:rFonts w:eastAsiaTheme="minorEastAsia"/>
                <w:sz w:val="24"/>
                <w:szCs w:val="24"/>
              </w:rPr>
              <w:t>PLO Grid</w:t>
            </w:r>
          </w:p>
          <w:p w:rsidR="00CB6851" w:rsidRDefault="00CB6851" w:rsidP="00CB6851">
            <w:pPr>
              <w:jc w:val="center"/>
              <w:rPr>
                <w:rFonts w:eastAsiaTheme="minorEastAsia"/>
                <w:sz w:val="24"/>
                <w:szCs w:val="24"/>
              </w:rPr>
            </w:pPr>
          </w:p>
          <w:tbl>
            <w:tblPr>
              <w:tblW w:w="11120" w:type="dxa"/>
              <w:tblLayout w:type="fixed"/>
              <w:tblLook w:val="04A0" w:firstRow="1" w:lastRow="0" w:firstColumn="1" w:lastColumn="0" w:noHBand="0" w:noVBand="1"/>
            </w:tblPr>
            <w:tblGrid>
              <w:gridCol w:w="1900"/>
              <w:gridCol w:w="1580"/>
              <w:gridCol w:w="1220"/>
              <w:gridCol w:w="1160"/>
              <w:gridCol w:w="1140"/>
              <w:gridCol w:w="880"/>
              <w:gridCol w:w="1080"/>
              <w:gridCol w:w="980"/>
              <w:gridCol w:w="1180"/>
            </w:tblGrid>
            <w:tr w:rsidR="007E140F" w:rsidRPr="007E140F" w:rsidTr="007E140F">
              <w:trPr>
                <w:trHeight w:val="31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Program</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PLOs Identified</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Spring 2012</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Fall 2012</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Spring 2013</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Fall 2013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Spring 2014</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Fall 2014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Spring 2015</w:t>
                  </w:r>
                </w:p>
              </w:tc>
            </w:tr>
            <w:tr w:rsidR="007E140F" w:rsidRPr="007E140F" w:rsidTr="007E140F">
              <w:trPr>
                <w:trHeight w:val="600"/>
              </w:trPr>
              <w:tc>
                <w:tcPr>
                  <w:tcW w:w="1900" w:type="dxa"/>
                  <w:tcBorders>
                    <w:top w:val="nil"/>
                    <w:left w:val="single" w:sz="8" w:space="0" w:color="auto"/>
                    <w:bottom w:val="single" w:sz="8" w:space="0" w:color="auto"/>
                    <w:right w:val="nil"/>
                  </w:tcBorders>
                  <w:shd w:val="clear" w:color="auto" w:fill="auto"/>
                  <w:vAlign w:val="center"/>
                  <w:hideMark/>
                </w:tcPr>
                <w:p w:rsidR="007E140F" w:rsidRPr="007E140F" w:rsidRDefault="007E140F" w:rsidP="007E140F">
                  <w:pPr>
                    <w:spacing w:after="0" w:line="240" w:lineRule="auto"/>
                    <w:rPr>
                      <w:rFonts w:ascii="Calibri" w:eastAsia="Times New Roman" w:hAnsi="Calibri" w:cs="Calibri"/>
                      <w:b/>
                      <w:bCs/>
                      <w:color w:val="000000"/>
                      <w:sz w:val="24"/>
                      <w:szCs w:val="24"/>
                    </w:rPr>
                  </w:pPr>
                  <w:r w:rsidRPr="007E140F">
                    <w:rPr>
                      <w:rFonts w:ascii="Calibri" w:eastAsia="Times New Roman" w:hAnsi="Calibri" w:cs="Calibri"/>
                      <w:b/>
                      <w:bCs/>
                      <w:color w:val="000000"/>
                      <w:sz w:val="24"/>
                      <w:szCs w:val="24"/>
                    </w:rPr>
                    <w:t xml:space="preserve">Business Administration </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b/>
                      <w:bCs/>
                      <w:color w:val="000000"/>
                    </w:rPr>
                  </w:pPr>
                  <w:r w:rsidRPr="007E140F">
                    <w:rPr>
                      <w:rFonts w:ascii="Calibri" w:eastAsia="Times New Roman" w:hAnsi="Calibri" w:cs="Calibri"/>
                      <w:b/>
                      <w:bCs/>
                      <w:color w:val="000000"/>
                    </w:rPr>
                    <w:t>3</w:t>
                  </w:r>
                </w:p>
              </w:tc>
              <w:tc>
                <w:tcPr>
                  <w:tcW w:w="122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116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rewritten</w:t>
                  </w:r>
                </w:p>
              </w:tc>
              <w:tc>
                <w:tcPr>
                  <w:tcW w:w="114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88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2</w:t>
                  </w:r>
                </w:p>
              </w:tc>
              <w:tc>
                <w:tcPr>
                  <w:tcW w:w="108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3</w:t>
                  </w:r>
                </w:p>
              </w:tc>
              <w:tc>
                <w:tcPr>
                  <w:tcW w:w="98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r>
            <w:tr w:rsidR="007E140F" w:rsidRPr="007E140F" w:rsidTr="007E140F">
              <w:trPr>
                <w:trHeight w:val="600"/>
              </w:trPr>
              <w:tc>
                <w:tcPr>
                  <w:tcW w:w="1900" w:type="dxa"/>
                  <w:tcBorders>
                    <w:top w:val="nil"/>
                    <w:left w:val="single" w:sz="8" w:space="0" w:color="auto"/>
                    <w:bottom w:val="single" w:sz="8" w:space="0" w:color="auto"/>
                    <w:right w:val="nil"/>
                  </w:tcBorders>
                  <w:shd w:val="clear" w:color="auto" w:fill="auto"/>
                  <w:vAlign w:val="center"/>
                  <w:hideMark/>
                </w:tcPr>
                <w:p w:rsidR="007E140F" w:rsidRPr="007E140F" w:rsidRDefault="007E140F" w:rsidP="007E140F">
                  <w:pPr>
                    <w:spacing w:after="0" w:line="240" w:lineRule="auto"/>
                    <w:rPr>
                      <w:rFonts w:ascii="Calibri" w:eastAsia="Times New Roman" w:hAnsi="Calibri" w:cs="Calibri"/>
                      <w:b/>
                      <w:bCs/>
                      <w:color w:val="000000"/>
                      <w:sz w:val="24"/>
                      <w:szCs w:val="24"/>
                    </w:rPr>
                  </w:pPr>
                  <w:r w:rsidRPr="007E140F">
                    <w:rPr>
                      <w:rFonts w:ascii="Calibri" w:eastAsia="Times New Roman" w:hAnsi="Calibri" w:cs="Calibri"/>
                      <w:b/>
                      <w:bCs/>
                      <w:color w:val="000000"/>
                      <w:sz w:val="24"/>
                      <w:szCs w:val="24"/>
                    </w:rPr>
                    <w:t>Financial Services</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3</w:t>
                  </w:r>
                </w:p>
              </w:tc>
              <w:tc>
                <w:tcPr>
                  <w:tcW w:w="122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116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rewritten</w:t>
                  </w:r>
                </w:p>
              </w:tc>
              <w:tc>
                <w:tcPr>
                  <w:tcW w:w="114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88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2</w:t>
                  </w:r>
                </w:p>
              </w:tc>
              <w:tc>
                <w:tcPr>
                  <w:tcW w:w="108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3</w:t>
                  </w:r>
                </w:p>
              </w:tc>
              <w:tc>
                <w:tcPr>
                  <w:tcW w:w="98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r>
            <w:tr w:rsidR="007E140F" w:rsidRPr="007E140F" w:rsidTr="007E140F">
              <w:trPr>
                <w:trHeight w:val="600"/>
              </w:trPr>
              <w:tc>
                <w:tcPr>
                  <w:tcW w:w="1900" w:type="dxa"/>
                  <w:tcBorders>
                    <w:top w:val="nil"/>
                    <w:left w:val="single" w:sz="8" w:space="0" w:color="auto"/>
                    <w:bottom w:val="single" w:sz="8" w:space="0" w:color="auto"/>
                    <w:right w:val="nil"/>
                  </w:tcBorders>
                  <w:shd w:val="clear" w:color="auto" w:fill="auto"/>
                  <w:vAlign w:val="center"/>
                  <w:hideMark/>
                </w:tcPr>
                <w:p w:rsidR="007E140F" w:rsidRPr="007E140F" w:rsidRDefault="007E140F" w:rsidP="007E140F">
                  <w:pPr>
                    <w:spacing w:after="0" w:line="240" w:lineRule="auto"/>
                    <w:rPr>
                      <w:rFonts w:ascii="Calibri" w:eastAsia="Times New Roman" w:hAnsi="Calibri" w:cs="Calibri"/>
                      <w:b/>
                      <w:bCs/>
                      <w:color w:val="000000"/>
                      <w:sz w:val="24"/>
                      <w:szCs w:val="24"/>
                    </w:rPr>
                  </w:pPr>
                  <w:r w:rsidRPr="007E140F">
                    <w:rPr>
                      <w:rFonts w:ascii="Calibri" w:eastAsia="Times New Roman" w:hAnsi="Calibri" w:cs="Calibri"/>
                      <w:b/>
                      <w:bCs/>
                      <w:color w:val="000000"/>
                      <w:sz w:val="24"/>
                      <w:szCs w:val="24"/>
                    </w:rPr>
                    <w:t>Marketing</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3</w:t>
                  </w:r>
                </w:p>
              </w:tc>
              <w:tc>
                <w:tcPr>
                  <w:tcW w:w="122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116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rewritten</w:t>
                  </w:r>
                </w:p>
              </w:tc>
              <w:tc>
                <w:tcPr>
                  <w:tcW w:w="114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88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2</w:t>
                  </w:r>
                </w:p>
              </w:tc>
              <w:tc>
                <w:tcPr>
                  <w:tcW w:w="108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3</w:t>
                  </w:r>
                </w:p>
              </w:tc>
              <w:tc>
                <w:tcPr>
                  <w:tcW w:w="98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r>
            <w:tr w:rsidR="007E140F" w:rsidRPr="007E140F" w:rsidTr="007E140F">
              <w:trPr>
                <w:trHeight w:val="600"/>
              </w:trPr>
              <w:tc>
                <w:tcPr>
                  <w:tcW w:w="1900" w:type="dxa"/>
                  <w:tcBorders>
                    <w:top w:val="nil"/>
                    <w:left w:val="single" w:sz="8" w:space="0" w:color="auto"/>
                    <w:bottom w:val="single" w:sz="8" w:space="0" w:color="auto"/>
                    <w:right w:val="nil"/>
                  </w:tcBorders>
                  <w:shd w:val="clear" w:color="auto" w:fill="auto"/>
                  <w:vAlign w:val="center"/>
                  <w:hideMark/>
                </w:tcPr>
                <w:p w:rsidR="007E140F" w:rsidRPr="007E140F" w:rsidRDefault="007E140F" w:rsidP="007E140F">
                  <w:pPr>
                    <w:spacing w:after="0" w:line="240" w:lineRule="auto"/>
                    <w:rPr>
                      <w:rFonts w:ascii="Calibri" w:eastAsia="Times New Roman" w:hAnsi="Calibri" w:cs="Calibri"/>
                      <w:b/>
                      <w:bCs/>
                      <w:color w:val="000000"/>
                      <w:sz w:val="24"/>
                      <w:szCs w:val="24"/>
                    </w:rPr>
                  </w:pPr>
                  <w:r w:rsidRPr="007E140F">
                    <w:rPr>
                      <w:rFonts w:ascii="Calibri" w:eastAsia="Times New Roman" w:hAnsi="Calibri" w:cs="Calibri"/>
                      <w:b/>
                      <w:bCs/>
                      <w:color w:val="000000"/>
                      <w:sz w:val="24"/>
                      <w:szCs w:val="24"/>
                    </w:rPr>
                    <w:t>Management</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3</w:t>
                  </w:r>
                </w:p>
              </w:tc>
              <w:tc>
                <w:tcPr>
                  <w:tcW w:w="122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116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rewritten</w:t>
                  </w:r>
                </w:p>
              </w:tc>
              <w:tc>
                <w:tcPr>
                  <w:tcW w:w="114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1</w:t>
                  </w:r>
                </w:p>
              </w:tc>
              <w:tc>
                <w:tcPr>
                  <w:tcW w:w="880" w:type="dxa"/>
                  <w:tcBorders>
                    <w:top w:val="nil"/>
                    <w:left w:val="nil"/>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2</w:t>
                  </w:r>
                </w:p>
              </w:tc>
              <w:tc>
                <w:tcPr>
                  <w:tcW w:w="1080" w:type="dxa"/>
                  <w:tcBorders>
                    <w:top w:val="nil"/>
                    <w:left w:val="single" w:sz="4" w:space="0" w:color="auto"/>
                    <w:bottom w:val="single" w:sz="4" w:space="0" w:color="auto"/>
                    <w:right w:val="nil"/>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3</w:t>
                  </w:r>
                </w:p>
              </w:tc>
              <w:tc>
                <w:tcPr>
                  <w:tcW w:w="980" w:type="dxa"/>
                  <w:tcBorders>
                    <w:top w:val="nil"/>
                    <w:left w:val="single" w:sz="12" w:space="0" w:color="auto"/>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c>
                <w:tcPr>
                  <w:tcW w:w="1180" w:type="dxa"/>
                  <w:tcBorders>
                    <w:top w:val="nil"/>
                    <w:left w:val="nil"/>
                    <w:bottom w:val="single" w:sz="4" w:space="0" w:color="auto"/>
                    <w:right w:val="single" w:sz="4" w:space="0" w:color="auto"/>
                  </w:tcBorders>
                  <w:shd w:val="clear" w:color="auto" w:fill="auto"/>
                  <w:noWrap/>
                  <w:vAlign w:val="bottom"/>
                  <w:hideMark/>
                </w:tcPr>
                <w:p w:rsidR="007E140F" w:rsidRPr="007E140F" w:rsidRDefault="007E140F" w:rsidP="007E140F">
                  <w:pPr>
                    <w:spacing w:after="0" w:line="240" w:lineRule="auto"/>
                    <w:jc w:val="center"/>
                    <w:rPr>
                      <w:rFonts w:ascii="Calibri" w:eastAsia="Times New Roman" w:hAnsi="Calibri" w:cs="Calibri"/>
                      <w:color w:val="000000"/>
                    </w:rPr>
                  </w:pPr>
                  <w:r w:rsidRPr="007E140F">
                    <w:rPr>
                      <w:rFonts w:ascii="Calibri" w:eastAsia="Times New Roman" w:hAnsi="Calibri" w:cs="Calibri"/>
                      <w:color w:val="000000"/>
                    </w:rPr>
                    <w:t> </w:t>
                  </w:r>
                </w:p>
              </w:tc>
            </w:tr>
          </w:tbl>
          <w:p w:rsidR="007E140F" w:rsidRPr="00A52AD1" w:rsidRDefault="007E140F" w:rsidP="007E140F">
            <w:pPr>
              <w:rPr>
                <w:rFonts w:eastAsiaTheme="minorEastAsia"/>
                <w:sz w:val="24"/>
                <w:szCs w:val="24"/>
              </w:rPr>
            </w:pPr>
            <w:r>
              <w:rPr>
                <w:rFonts w:eastAsiaTheme="minorEastAsia"/>
                <w:sz w:val="24"/>
                <w:szCs w:val="24"/>
              </w:rPr>
              <w:t>PLO’s were re-written in the Fall of 2012.  By the end of Spring 2014, all will have been assessed at least once.</w:t>
            </w:r>
          </w:p>
          <w:p w:rsidR="004519FF" w:rsidRPr="00B30971" w:rsidRDefault="004519FF" w:rsidP="00B30971">
            <w:pPr>
              <w:jc w:val="center"/>
              <w:rPr>
                <w:rFonts w:ascii="Arial Black" w:hAnsi="Arial Black"/>
                <w:b/>
                <w:color w:val="C00000"/>
                <w:sz w:val="40"/>
                <w:szCs w:val="40"/>
              </w:rPr>
            </w:pPr>
          </w:p>
        </w:tc>
      </w:tr>
    </w:tbl>
    <w:p w:rsidR="0013472B" w:rsidRDefault="0013472B" w:rsidP="00AC2D84">
      <w:pPr>
        <w:spacing w:after="0" w:line="240" w:lineRule="auto"/>
        <w:rPr>
          <w:b/>
          <w:sz w:val="32"/>
          <w:szCs w:val="32"/>
        </w:rPr>
      </w:pPr>
    </w:p>
    <w:sectPr w:rsidR="0013472B" w:rsidSect="005817E7">
      <w:footerReference w:type="default" r:id="rId19"/>
      <w:pgSz w:w="15840" w:h="12240" w:orient="landscape"/>
      <w:pgMar w:top="990" w:right="720" w:bottom="54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70" w:rsidRDefault="008E6870" w:rsidP="00C269D2">
      <w:pPr>
        <w:spacing w:after="0" w:line="240" w:lineRule="auto"/>
      </w:pPr>
      <w:r>
        <w:separator/>
      </w:r>
    </w:p>
  </w:endnote>
  <w:endnote w:type="continuationSeparator" w:id="0">
    <w:p w:rsidR="008E6870" w:rsidRDefault="008E6870"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70" w:rsidRDefault="008E6870">
    <w:pPr>
      <w:pStyle w:val="Footer"/>
      <w:rPr>
        <w:color w:val="000000" w:themeColor="text1"/>
        <w:sz w:val="24"/>
        <w:szCs w:val="24"/>
      </w:rPr>
    </w:pPr>
    <w:r>
      <w:rPr>
        <w:color w:val="000000" w:themeColor="text1"/>
        <w:sz w:val="24"/>
        <w:szCs w:val="24"/>
      </w:rPr>
      <w:t>Academic Program Review</w:t>
    </w:r>
  </w:p>
  <w:p w:rsidR="008E6870" w:rsidRPr="002D5944" w:rsidRDefault="008E6870">
    <w:pPr>
      <w:pStyle w:val="Footer"/>
      <w:rPr>
        <w:color w:val="000000" w:themeColor="text1"/>
        <w:sz w:val="18"/>
        <w:szCs w:val="24"/>
      </w:rPr>
    </w:pPr>
    <w:r>
      <w:rPr>
        <w:color w:val="000000" w:themeColor="text1"/>
        <w:sz w:val="18"/>
        <w:szCs w:val="24"/>
      </w:rPr>
      <w:t>01/09/14</w:t>
    </w:r>
  </w:p>
  <w:p w:rsidR="008E6870" w:rsidRDefault="008E6870">
    <w:pPr>
      <w:pStyle w:val="Footer"/>
    </w:pPr>
    <w:r>
      <w:rPr>
        <w:noProof/>
      </w:rPr>
      <mc:AlternateContent>
        <mc:Choice Requires="wps">
          <w:drawing>
            <wp:anchor distT="0" distB="0" distL="114300" distR="114300" simplePos="0" relativeHeight="251659264" behindDoc="0" locked="0" layoutInCell="1" allowOverlap="1" wp14:anchorId="24628AD5" wp14:editId="7374D38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8E6870" w:rsidRDefault="008E687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0F0A5A">
                            <w:rPr>
                              <w:rFonts w:asciiTheme="majorHAnsi" w:hAnsiTheme="majorHAnsi"/>
                              <w:noProof/>
                              <w:color w:val="000000" w:themeColor="text1"/>
                              <w:sz w:val="40"/>
                              <w:szCs w:val="40"/>
                            </w:rPr>
                            <w:t>5</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8E6870" w:rsidRDefault="008E687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0F0A5A">
                      <w:rPr>
                        <w:rFonts w:asciiTheme="majorHAnsi" w:hAnsiTheme="majorHAnsi"/>
                        <w:noProof/>
                        <w:color w:val="000000" w:themeColor="text1"/>
                        <w:sz w:val="40"/>
                        <w:szCs w:val="40"/>
                      </w:rPr>
                      <w:t>5</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63E32307" wp14:editId="1BC3A6AD">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70" w:rsidRDefault="008E6870" w:rsidP="00C269D2">
      <w:pPr>
        <w:spacing w:after="0" w:line="240" w:lineRule="auto"/>
      </w:pPr>
      <w:r>
        <w:separator/>
      </w:r>
    </w:p>
  </w:footnote>
  <w:footnote w:type="continuationSeparator" w:id="0">
    <w:p w:rsidR="008E6870" w:rsidRDefault="008E6870"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1238"/>
    <w:rsid w:val="00027923"/>
    <w:rsid w:val="00033067"/>
    <w:rsid w:val="000403F6"/>
    <w:rsid w:val="00043E27"/>
    <w:rsid w:val="00046042"/>
    <w:rsid w:val="0005417A"/>
    <w:rsid w:val="00081A8E"/>
    <w:rsid w:val="00085642"/>
    <w:rsid w:val="000A2181"/>
    <w:rsid w:val="000A56FF"/>
    <w:rsid w:val="000C3BC9"/>
    <w:rsid w:val="000D01C8"/>
    <w:rsid w:val="000F0A5A"/>
    <w:rsid w:val="00110022"/>
    <w:rsid w:val="00112F90"/>
    <w:rsid w:val="0011602C"/>
    <w:rsid w:val="0013472B"/>
    <w:rsid w:val="00161A08"/>
    <w:rsid w:val="001824BF"/>
    <w:rsid w:val="001A3688"/>
    <w:rsid w:val="001B0E63"/>
    <w:rsid w:val="001B3E09"/>
    <w:rsid w:val="001C0FA5"/>
    <w:rsid w:val="001C31AE"/>
    <w:rsid w:val="001C394F"/>
    <w:rsid w:val="001C4679"/>
    <w:rsid w:val="001C6D9E"/>
    <w:rsid w:val="00211B80"/>
    <w:rsid w:val="00223F78"/>
    <w:rsid w:val="0023193A"/>
    <w:rsid w:val="002423D1"/>
    <w:rsid w:val="002521F9"/>
    <w:rsid w:val="00257C76"/>
    <w:rsid w:val="00266594"/>
    <w:rsid w:val="00271A0B"/>
    <w:rsid w:val="00274ABD"/>
    <w:rsid w:val="0028431E"/>
    <w:rsid w:val="002D5944"/>
    <w:rsid w:val="002F04D9"/>
    <w:rsid w:val="002F5CCA"/>
    <w:rsid w:val="003204B1"/>
    <w:rsid w:val="003648E7"/>
    <w:rsid w:val="003835E7"/>
    <w:rsid w:val="00391312"/>
    <w:rsid w:val="0039232D"/>
    <w:rsid w:val="003A0610"/>
    <w:rsid w:val="003B17D4"/>
    <w:rsid w:val="003F7DA7"/>
    <w:rsid w:val="004111B8"/>
    <w:rsid w:val="004457CE"/>
    <w:rsid w:val="0044785F"/>
    <w:rsid w:val="004519FF"/>
    <w:rsid w:val="00455861"/>
    <w:rsid w:val="004578EE"/>
    <w:rsid w:val="00471947"/>
    <w:rsid w:val="00492DDA"/>
    <w:rsid w:val="004A2B92"/>
    <w:rsid w:val="004B7383"/>
    <w:rsid w:val="004C4E7F"/>
    <w:rsid w:val="004D4D45"/>
    <w:rsid w:val="004F1EA0"/>
    <w:rsid w:val="00541352"/>
    <w:rsid w:val="00555678"/>
    <w:rsid w:val="00556AD5"/>
    <w:rsid w:val="005707F9"/>
    <w:rsid w:val="0057128D"/>
    <w:rsid w:val="005817E7"/>
    <w:rsid w:val="00594CC6"/>
    <w:rsid w:val="00597F48"/>
    <w:rsid w:val="005A6C4B"/>
    <w:rsid w:val="005B59C1"/>
    <w:rsid w:val="005B72F8"/>
    <w:rsid w:val="005C3A5A"/>
    <w:rsid w:val="005E6467"/>
    <w:rsid w:val="005F09EA"/>
    <w:rsid w:val="005F333E"/>
    <w:rsid w:val="00603C62"/>
    <w:rsid w:val="00621634"/>
    <w:rsid w:val="00641F0C"/>
    <w:rsid w:val="006454E3"/>
    <w:rsid w:val="00663719"/>
    <w:rsid w:val="00670782"/>
    <w:rsid w:val="006854CC"/>
    <w:rsid w:val="00691060"/>
    <w:rsid w:val="00691A49"/>
    <w:rsid w:val="006B712B"/>
    <w:rsid w:val="006C664D"/>
    <w:rsid w:val="006C7590"/>
    <w:rsid w:val="006D1FC2"/>
    <w:rsid w:val="006D2FCF"/>
    <w:rsid w:val="006D4F29"/>
    <w:rsid w:val="00700A8A"/>
    <w:rsid w:val="0071593B"/>
    <w:rsid w:val="0072165A"/>
    <w:rsid w:val="007250CF"/>
    <w:rsid w:val="00725D31"/>
    <w:rsid w:val="007440FF"/>
    <w:rsid w:val="00751179"/>
    <w:rsid w:val="0079256B"/>
    <w:rsid w:val="007B6E52"/>
    <w:rsid w:val="007D1955"/>
    <w:rsid w:val="007E140F"/>
    <w:rsid w:val="007E2283"/>
    <w:rsid w:val="007E4294"/>
    <w:rsid w:val="007F00B5"/>
    <w:rsid w:val="007F1BF9"/>
    <w:rsid w:val="00827180"/>
    <w:rsid w:val="00845E03"/>
    <w:rsid w:val="00845F64"/>
    <w:rsid w:val="0085021D"/>
    <w:rsid w:val="00875F92"/>
    <w:rsid w:val="00885966"/>
    <w:rsid w:val="008A48AC"/>
    <w:rsid w:val="008A6B55"/>
    <w:rsid w:val="008E6322"/>
    <w:rsid w:val="008E6870"/>
    <w:rsid w:val="008F1519"/>
    <w:rsid w:val="008F6DD3"/>
    <w:rsid w:val="00906A7C"/>
    <w:rsid w:val="0094250C"/>
    <w:rsid w:val="00944407"/>
    <w:rsid w:val="00946D62"/>
    <w:rsid w:val="0097680B"/>
    <w:rsid w:val="00987B31"/>
    <w:rsid w:val="009968E8"/>
    <w:rsid w:val="009A1ADE"/>
    <w:rsid w:val="009D3A48"/>
    <w:rsid w:val="009F08F0"/>
    <w:rsid w:val="00A2467D"/>
    <w:rsid w:val="00A257C2"/>
    <w:rsid w:val="00A35F53"/>
    <w:rsid w:val="00A52AD1"/>
    <w:rsid w:val="00A95A5F"/>
    <w:rsid w:val="00AC2D84"/>
    <w:rsid w:val="00AD4987"/>
    <w:rsid w:val="00AE0185"/>
    <w:rsid w:val="00AE599F"/>
    <w:rsid w:val="00AE5C40"/>
    <w:rsid w:val="00AF1334"/>
    <w:rsid w:val="00B05E52"/>
    <w:rsid w:val="00B221A1"/>
    <w:rsid w:val="00B25FA2"/>
    <w:rsid w:val="00B30971"/>
    <w:rsid w:val="00B54057"/>
    <w:rsid w:val="00B7127A"/>
    <w:rsid w:val="00B7252F"/>
    <w:rsid w:val="00B91965"/>
    <w:rsid w:val="00BA22FE"/>
    <w:rsid w:val="00BA2412"/>
    <w:rsid w:val="00BA2EC9"/>
    <w:rsid w:val="00BD2BA5"/>
    <w:rsid w:val="00BD5E72"/>
    <w:rsid w:val="00BF037A"/>
    <w:rsid w:val="00C059EE"/>
    <w:rsid w:val="00C0717C"/>
    <w:rsid w:val="00C15830"/>
    <w:rsid w:val="00C269D2"/>
    <w:rsid w:val="00C32B0F"/>
    <w:rsid w:val="00C43EEC"/>
    <w:rsid w:val="00C521EC"/>
    <w:rsid w:val="00C61A1E"/>
    <w:rsid w:val="00C9513F"/>
    <w:rsid w:val="00CB6851"/>
    <w:rsid w:val="00CC5AEE"/>
    <w:rsid w:val="00CD76AB"/>
    <w:rsid w:val="00CE78BF"/>
    <w:rsid w:val="00CF1504"/>
    <w:rsid w:val="00D001FF"/>
    <w:rsid w:val="00D13C67"/>
    <w:rsid w:val="00D140DE"/>
    <w:rsid w:val="00D46DD5"/>
    <w:rsid w:val="00D6026F"/>
    <w:rsid w:val="00D67F65"/>
    <w:rsid w:val="00D7054E"/>
    <w:rsid w:val="00D84502"/>
    <w:rsid w:val="00D847BE"/>
    <w:rsid w:val="00D9584C"/>
    <w:rsid w:val="00D976AD"/>
    <w:rsid w:val="00DA3B8E"/>
    <w:rsid w:val="00DD6F85"/>
    <w:rsid w:val="00E364FB"/>
    <w:rsid w:val="00E63051"/>
    <w:rsid w:val="00E87BA0"/>
    <w:rsid w:val="00ED435D"/>
    <w:rsid w:val="00EF1EC8"/>
    <w:rsid w:val="00EF4BD8"/>
    <w:rsid w:val="00F072A5"/>
    <w:rsid w:val="00F174C8"/>
    <w:rsid w:val="00F2002C"/>
    <w:rsid w:val="00F60651"/>
    <w:rsid w:val="00F84054"/>
    <w:rsid w:val="00FB2B8C"/>
    <w:rsid w:val="00FB7280"/>
    <w:rsid w:val="00FC2EBE"/>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010373157">
      <w:bodyDiv w:val="1"/>
      <w:marLeft w:val="0"/>
      <w:marRight w:val="0"/>
      <w:marTop w:val="0"/>
      <w:marBottom w:val="0"/>
      <w:divBdr>
        <w:top w:val="none" w:sz="0" w:space="0" w:color="auto"/>
        <w:left w:val="none" w:sz="0" w:space="0" w:color="auto"/>
        <w:bottom w:val="none" w:sz="0" w:space="0" w:color="auto"/>
        <w:right w:val="none" w:sz="0" w:space="0" w:color="auto"/>
      </w:divBdr>
    </w:div>
    <w:div w:id="1412267165">
      <w:bodyDiv w:val="1"/>
      <w:marLeft w:val="0"/>
      <w:marRight w:val="0"/>
      <w:marTop w:val="0"/>
      <w:marBottom w:val="0"/>
      <w:divBdr>
        <w:top w:val="none" w:sz="0" w:space="0" w:color="auto"/>
        <w:left w:val="none" w:sz="0" w:space="0" w:color="auto"/>
        <w:bottom w:val="none" w:sz="0" w:space="0" w:color="auto"/>
        <w:right w:val="none" w:sz="0" w:space="0" w:color="auto"/>
      </w:divBdr>
    </w:div>
    <w:div w:id="1568687790">
      <w:bodyDiv w:val="1"/>
      <w:marLeft w:val="0"/>
      <w:marRight w:val="0"/>
      <w:marTop w:val="0"/>
      <w:marBottom w:val="0"/>
      <w:divBdr>
        <w:top w:val="none" w:sz="0" w:space="0" w:color="auto"/>
        <w:left w:val="none" w:sz="0" w:space="0" w:color="auto"/>
        <w:bottom w:val="none" w:sz="0" w:space="0" w:color="auto"/>
        <w:right w:val="none" w:sz="0" w:space="0" w:color="auto"/>
      </w:divBdr>
    </w:div>
    <w:div w:id="16707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10.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Fall Enrollment</a:t>
            </a:r>
          </a:p>
        </c:rich>
      </c:tx>
      <c:layout/>
      <c:overlay val="0"/>
    </c:title>
    <c:autoTitleDeleted val="0"/>
    <c:plotArea>
      <c:layout/>
      <c:barChart>
        <c:barDir val="col"/>
        <c:grouping val="clustered"/>
        <c:varyColors val="0"/>
        <c:ser>
          <c:idx val="0"/>
          <c:order val="0"/>
          <c:tx>
            <c:strRef>
              <c:f>'B.1.a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Fill'!$D$17:$F$17</c:f>
              <c:numCache>
                <c:formatCode>General</c:formatCode>
                <c:ptCount val="3"/>
                <c:pt idx="0">
                  <c:v>389</c:v>
                </c:pt>
                <c:pt idx="1">
                  <c:v>156</c:v>
                </c:pt>
                <c:pt idx="2">
                  <c:v>31</c:v>
                </c:pt>
              </c:numCache>
            </c:numRef>
          </c:val>
        </c:ser>
        <c:ser>
          <c:idx val="1"/>
          <c:order val="1"/>
          <c:tx>
            <c:strRef>
              <c:f>'B.1.a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Fill'!$D$18:$F$18</c:f>
              <c:numCache>
                <c:formatCode>General</c:formatCode>
                <c:ptCount val="3"/>
                <c:pt idx="0">
                  <c:v>427</c:v>
                </c:pt>
                <c:pt idx="1">
                  <c:v>136</c:v>
                </c:pt>
                <c:pt idx="2">
                  <c:v>35</c:v>
                </c:pt>
              </c:numCache>
            </c:numRef>
          </c:val>
        </c:ser>
        <c:ser>
          <c:idx val="2"/>
          <c:order val="2"/>
          <c:tx>
            <c:strRef>
              <c:f>'B.1.a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Fill'!$D$15:$F$16</c:f>
              <c:multiLvlStrCache>
                <c:ptCount val="3"/>
                <c:lvl>
                  <c:pt idx="0">
                    <c:v>Day</c:v>
                  </c:pt>
                  <c:pt idx="1">
                    <c:v>Evening</c:v>
                  </c:pt>
                  <c:pt idx="2">
                    <c:v>OL</c:v>
                  </c:pt>
                </c:lvl>
                <c:lvl>
                  <c:pt idx="0">
                    <c:v>Enrollment</c:v>
                  </c:pt>
                </c:lvl>
              </c:multiLvlStrCache>
            </c:multiLvlStrRef>
          </c:cat>
          <c:val>
            <c:numRef>
              <c:f>'B.1.a chart Enrollment &amp; Fill'!$D$19:$F$19</c:f>
              <c:numCache>
                <c:formatCode>General</c:formatCode>
                <c:ptCount val="3"/>
                <c:pt idx="0">
                  <c:v>409</c:v>
                </c:pt>
                <c:pt idx="1">
                  <c:v>150</c:v>
                </c:pt>
                <c:pt idx="2">
                  <c:v>0</c:v>
                </c:pt>
              </c:numCache>
            </c:numRef>
          </c:val>
        </c:ser>
        <c:dLbls>
          <c:showLegendKey val="0"/>
          <c:showVal val="0"/>
          <c:showCatName val="0"/>
          <c:showSerName val="0"/>
          <c:showPercent val="0"/>
          <c:showBubbleSize val="0"/>
        </c:dLbls>
        <c:gapWidth val="150"/>
        <c:axId val="78552064"/>
        <c:axId val="22700800"/>
      </c:barChart>
      <c:catAx>
        <c:axId val="78552064"/>
        <c:scaling>
          <c:orientation val="minMax"/>
        </c:scaling>
        <c:delete val="0"/>
        <c:axPos val="b"/>
        <c:majorTickMark val="none"/>
        <c:minorTickMark val="none"/>
        <c:tickLblPos val="nextTo"/>
        <c:crossAx val="22700800"/>
        <c:crosses val="autoZero"/>
        <c:auto val="1"/>
        <c:lblAlgn val="ctr"/>
        <c:lblOffset val="100"/>
        <c:noMultiLvlLbl val="0"/>
      </c:catAx>
      <c:valAx>
        <c:axId val="22700800"/>
        <c:scaling>
          <c:orientation val="minMax"/>
        </c:scaling>
        <c:delete val="0"/>
        <c:axPos val="l"/>
        <c:majorGridlines/>
        <c:numFmt formatCode="General" sourceLinked="1"/>
        <c:majorTickMark val="none"/>
        <c:minorTickMark val="none"/>
        <c:tickLblPos val="nextTo"/>
        <c:crossAx val="7855206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Spring Enrollment</a:t>
            </a:r>
          </a:p>
        </c:rich>
      </c:tx>
      <c:layout/>
      <c:overlay val="0"/>
    </c:title>
    <c:autoTitleDeleted val="0"/>
    <c:plotArea>
      <c:layout/>
      <c:barChart>
        <c:barDir val="col"/>
        <c:grouping val="clustered"/>
        <c:varyColors val="0"/>
        <c:ser>
          <c:idx val="0"/>
          <c:order val="0"/>
          <c:tx>
            <c:strRef>
              <c:f>'B.1.a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Fill'!$D$33:$F$33</c:f>
              <c:numCache>
                <c:formatCode>General</c:formatCode>
                <c:ptCount val="3"/>
                <c:pt idx="0">
                  <c:v>474</c:v>
                </c:pt>
                <c:pt idx="1">
                  <c:v>168</c:v>
                </c:pt>
                <c:pt idx="2">
                  <c:v>30</c:v>
                </c:pt>
              </c:numCache>
            </c:numRef>
          </c:val>
        </c:ser>
        <c:ser>
          <c:idx val="1"/>
          <c:order val="1"/>
          <c:tx>
            <c:strRef>
              <c:f>'B.1.a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Fill'!$D$34:$F$34</c:f>
              <c:numCache>
                <c:formatCode>General</c:formatCode>
                <c:ptCount val="3"/>
                <c:pt idx="0">
                  <c:v>345</c:v>
                </c:pt>
                <c:pt idx="1">
                  <c:v>113</c:v>
                </c:pt>
                <c:pt idx="2">
                  <c:v>15</c:v>
                </c:pt>
              </c:numCache>
            </c:numRef>
          </c:val>
        </c:ser>
        <c:ser>
          <c:idx val="2"/>
          <c:order val="2"/>
          <c:tx>
            <c:strRef>
              <c:f>'B.1.a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Fill'!$D$31:$F$32</c:f>
              <c:multiLvlStrCache>
                <c:ptCount val="3"/>
                <c:lvl>
                  <c:pt idx="0">
                    <c:v>Day</c:v>
                  </c:pt>
                  <c:pt idx="1">
                    <c:v>Evening</c:v>
                  </c:pt>
                  <c:pt idx="2">
                    <c:v>OL</c:v>
                  </c:pt>
                </c:lvl>
                <c:lvl>
                  <c:pt idx="0">
                    <c:v>Enrollment</c:v>
                  </c:pt>
                </c:lvl>
              </c:multiLvlStrCache>
            </c:multiLvlStrRef>
          </c:cat>
          <c:val>
            <c:numRef>
              <c:f>'B.1.a chart Enrollment &amp; Fill'!$D$35:$F$35</c:f>
              <c:numCache>
                <c:formatCode>General</c:formatCode>
                <c:ptCount val="3"/>
                <c:pt idx="0">
                  <c:v>428</c:v>
                </c:pt>
                <c:pt idx="1">
                  <c:v>183</c:v>
                </c:pt>
                <c:pt idx="2">
                  <c:v>0</c:v>
                </c:pt>
              </c:numCache>
            </c:numRef>
          </c:val>
        </c:ser>
        <c:dLbls>
          <c:showLegendKey val="0"/>
          <c:showVal val="0"/>
          <c:showCatName val="0"/>
          <c:showSerName val="0"/>
          <c:showPercent val="0"/>
          <c:showBubbleSize val="0"/>
        </c:dLbls>
        <c:gapWidth val="150"/>
        <c:axId val="83922304"/>
        <c:axId val="83928192"/>
      </c:barChart>
      <c:catAx>
        <c:axId val="83922304"/>
        <c:scaling>
          <c:orientation val="minMax"/>
        </c:scaling>
        <c:delete val="0"/>
        <c:axPos val="b"/>
        <c:majorTickMark val="none"/>
        <c:minorTickMark val="none"/>
        <c:tickLblPos val="nextTo"/>
        <c:crossAx val="83928192"/>
        <c:crosses val="autoZero"/>
        <c:auto val="1"/>
        <c:lblAlgn val="ctr"/>
        <c:lblOffset val="100"/>
        <c:noMultiLvlLbl val="0"/>
      </c:catAx>
      <c:valAx>
        <c:axId val="83928192"/>
        <c:scaling>
          <c:orientation val="minMax"/>
        </c:scaling>
        <c:delete val="0"/>
        <c:axPos val="l"/>
        <c:majorGridlines/>
        <c:numFmt formatCode="General" sourceLinked="1"/>
        <c:majorTickMark val="none"/>
        <c:minorTickMark val="none"/>
        <c:tickLblPos val="nextTo"/>
        <c:crossAx val="83922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'B.1.a chart Enrollment &amp; Fill'!$C$51</c:f>
              <c:strCache>
                <c:ptCount val="1"/>
                <c:pt idx="0">
                  <c:v>Fall 2010</c:v>
                </c:pt>
              </c:strCache>
            </c:strRef>
          </c:tx>
          <c:invertIfNegative val="0"/>
          <c:dLbls>
            <c:dLbl>
              <c:idx val="0"/>
              <c:layout>
                <c:manualLayout>
                  <c:x val="-1.666666666666668E-2"/>
                  <c:y val="-5.3605618560084181E-17"/>
                </c:manualLayout>
              </c:layout>
              <c:showLegendKey val="0"/>
              <c:showVal val="1"/>
              <c:showCatName val="0"/>
              <c:showSerName val="0"/>
              <c:showPercent val="0"/>
              <c:showBubbleSize val="0"/>
            </c:dLbl>
            <c:dLbl>
              <c:idx val="1"/>
              <c:layout>
                <c:manualLayout>
                  <c:x val="-2.2222222222222272E-2"/>
                  <c:y val="5.3605618560084181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Fill'!$D$51:$F$51</c:f>
              <c:numCache>
                <c:formatCode>0%</c:formatCode>
                <c:ptCount val="3"/>
                <c:pt idx="0">
                  <c:v>0.85</c:v>
                </c:pt>
                <c:pt idx="1">
                  <c:v>0.93</c:v>
                </c:pt>
                <c:pt idx="2">
                  <c:v>0.78</c:v>
                </c:pt>
              </c:numCache>
            </c:numRef>
          </c:val>
        </c:ser>
        <c:ser>
          <c:idx val="1"/>
          <c:order val="1"/>
          <c:tx>
            <c:strRef>
              <c:f>'B.1.a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Fill'!$D$52:$F$52</c:f>
              <c:numCache>
                <c:formatCode>0%</c:formatCode>
                <c:ptCount val="3"/>
                <c:pt idx="0">
                  <c:v>0.87</c:v>
                </c:pt>
                <c:pt idx="1">
                  <c:v>0.82</c:v>
                </c:pt>
                <c:pt idx="2">
                  <c:v>0.88</c:v>
                </c:pt>
              </c:numCache>
            </c:numRef>
          </c:val>
        </c:ser>
        <c:ser>
          <c:idx val="2"/>
          <c:order val="2"/>
          <c:tx>
            <c:strRef>
              <c:f>'B.1.a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'B.1.a chart Enrollment &amp; Fill'!$D$49:$F$50</c:f>
              <c:multiLvlStrCache>
                <c:ptCount val="3"/>
                <c:lvl>
                  <c:pt idx="0">
                    <c:v>Day</c:v>
                  </c:pt>
                  <c:pt idx="1">
                    <c:v>Evening</c:v>
                  </c:pt>
                  <c:pt idx="2">
                    <c:v>OL</c:v>
                  </c:pt>
                </c:lvl>
                <c:lvl>
                  <c:pt idx="0">
                    <c:v>Fall Fill Rates</c:v>
                  </c:pt>
                </c:lvl>
              </c:multiLvlStrCache>
            </c:multiLvlStrRef>
          </c:cat>
          <c:val>
            <c:numRef>
              <c:f>'B.1.a chart Enrollment &amp; Fill'!$D$53:$F$53</c:f>
              <c:numCache>
                <c:formatCode>0%</c:formatCode>
                <c:ptCount val="3"/>
                <c:pt idx="0">
                  <c:v>0.96</c:v>
                </c:pt>
                <c:pt idx="1">
                  <c:v>0.78</c:v>
                </c:pt>
                <c:pt idx="2">
                  <c:v>0</c:v>
                </c:pt>
              </c:numCache>
            </c:numRef>
          </c:val>
        </c:ser>
        <c:dLbls>
          <c:showLegendKey val="0"/>
          <c:showVal val="0"/>
          <c:showCatName val="0"/>
          <c:showSerName val="0"/>
          <c:showPercent val="0"/>
          <c:showBubbleSize val="0"/>
        </c:dLbls>
        <c:gapWidth val="150"/>
        <c:axId val="83996672"/>
        <c:axId val="83998208"/>
      </c:barChart>
      <c:catAx>
        <c:axId val="83996672"/>
        <c:scaling>
          <c:orientation val="minMax"/>
        </c:scaling>
        <c:delete val="0"/>
        <c:axPos val="b"/>
        <c:majorTickMark val="none"/>
        <c:minorTickMark val="none"/>
        <c:tickLblPos val="nextTo"/>
        <c:crossAx val="83998208"/>
        <c:crosses val="autoZero"/>
        <c:auto val="1"/>
        <c:lblAlgn val="ctr"/>
        <c:lblOffset val="100"/>
        <c:noMultiLvlLbl val="0"/>
      </c:catAx>
      <c:valAx>
        <c:axId val="83998208"/>
        <c:scaling>
          <c:orientation val="minMax"/>
        </c:scaling>
        <c:delete val="0"/>
        <c:axPos val="l"/>
        <c:majorGridlines/>
        <c:numFmt formatCode="0%" sourceLinked="1"/>
        <c:majorTickMark val="none"/>
        <c:minorTickMark val="none"/>
        <c:tickLblPos val="nextTo"/>
        <c:crossAx val="83996672"/>
        <c:crosses val="autoZero"/>
        <c:crossBetween val="between"/>
      </c:valAx>
    </c:plotArea>
    <c:legend>
      <c:legendPos val="r"/>
      <c:layout>
        <c:manualLayout>
          <c:xMode val="edge"/>
          <c:yMode val="edge"/>
          <c:x val="0.83194553805774274"/>
          <c:y val="0.37924344983192887"/>
          <c:w val="0.14861001749781277"/>
          <c:h val="0.3172440944881889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Business</a:t>
            </a:r>
          </a:p>
          <a:p>
            <a:pPr>
              <a:defRPr/>
            </a:pPr>
            <a:r>
              <a:rPr lang="en-US"/>
              <a:t>Spring</a:t>
            </a:r>
            <a:r>
              <a:rPr lang="en-US" baseline="0"/>
              <a:t> Fill Rates</a:t>
            </a:r>
            <a:endParaRPr lang="en-US"/>
          </a:p>
        </c:rich>
      </c:tx>
      <c:layout/>
      <c:overlay val="0"/>
    </c:title>
    <c:autoTitleDeleted val="0"/>
    <c:plotArea>
      <c:layout/>
      <c:barChart>
        <c:barDir val="col"/>
        <c:grouping val="clustered"/>
        <c:varyColors val="0"/>
        <c:ser>
          <c:idx val="0"/>
          <c:order val="0"/>
          <c:tx>
            <c:strRef>
              <c:f>'B.1.a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Fill'!$D$66:$F$66</c:f>
              <c:numCache>
                <c:formatCode>0%</c:formatCode>
                <c:ptCount val="3"/>
                <c:pt idx="0">
                  <c:v>0.86</c:v>
                </c:pt>
                <c:pt idx="1">
                  <c:v>0.83</c:v>
                </c:pt>
                <c:pt idx="2">
                  <c:v>0.86</c:v>
                </c:pt>
              </c:numCache>
            </c:numRef>
          </c:val>
        </c:ser>
        <c:ser>
          <c:idx val="1"/>
          <c:order val="1"/>
          <c:tx>
            <c:strRef>
              <c:f>'B.1.a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Fill'!$D$67:$F$67</c:f>
              <c:numCache>
                <c:formatCode>0%</c:formatCode>
                <c:ptCount val="3"/>
                <c:pt idx="0">
                  <c:v>0.71</c:v>
                </c:pt>
                <c:pt idx="1">
                  <c:v>0.69</c:v>
                </c:pt>
                <c:pt idx="2">
                  <c:v>0.38</c:v>
                </c:pt>
              </c:numCache>
            </c:numRef>
          </c:val>
        </c:ser>
        <c:ser>
          <c:idx val="2"/>
          <c:order val="2"/>
          <c:tx>
            <c:strRef>
              <c:f>'B.1.a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'B.1.a chart Enrollment &amp; Fill'!$D$64:$F$65</c:f>
              <c:multiLvlStrCache>
                <c:ptCount val="3"/>
                <c:lvl>
                  <c:pt idx="0">
                    <c:v>Day</c:v>
                  </c:pt>
                  <c:pt idx="1">
                    <c:v>Evening</c:v>
                  </c:pt>
                  <c:pt idx="2">
                    <c:v>OL</c:v>
                  </c:pt>
                </c:lvl>
                <c:lvl>
                  <c:pt idx="0">
                    <c:v>Spring Fill Rates</c:v>
                  </c:pt>
                </c:lvl>
              </c:multiLvlStrCache>
            </c:multiLvlStrRef>
          </c:cat>
          <c:val>
            <c:numRef>
              <c:f>'B.1.a chart Enrollment &amp; Fill'!$D$68:$F$68</c:f>
              <c:numCache>
                <c:formatCode>0%</c:formatCode>
                <c:ptCount val="3"/>
                <c:pt idx="0">
                  <c:v>0.84</c:v>
                </c:pt>
                <c:pt idx="1">
                  <c:v>0.79</c:v>
                </c:pt>
                <c:pt idx="2">
                  <c:v>0</c:v>
                </c:pt>
              </c:numCache>
            </c:numRef>
          </c:val>
        </c:ser>
        <c:dLbls>
          <c:showLegendKey val="0"/>
          <c:showVal val="0"/>
          <c:showCatName val="0"/>
          <c:showSerName val="0"/>
          <c:showPercent val="0"/>
          <c:showBubbleSize val="0"/>
        </c:dLbls>
        <c:gapWidth val="150"/>
        <c:axId val="84017536"/>
        <c:axId val="84019072"/>
      </c:barChart>
      <c:catAx>
        <c:axId val="84017536"/>
        <c:scaling>
          <c:orientation val="minMax"/>
        </c:scaling>
        <c:delete val="0"/>
        <c:axPos val="b"/>
        <c:majorTickMark val="none"/>
        <c:minorTickMark val="none"/>
        <c:tickLblPos val="nextTo"/>
        <c:crossAx val="84019072"/>
        <c:crosses val="autoZero"/>
        <c:auto val="1"/>
        <c:lblAlgn val="ctr"/>
        <c:lblOffset val="100"/>
        <c:noMultiLvlLbl val="0"/>
      </c:catAx>
      <c:valAx>
        <c:axId val="84019072"/>
        <c:scaling>
          <c:orientation val="minMax"/>
        </c:scaling>
        <c:delete val="0"/>
        <c:axPos val="l"/>
        <c:majorGridlines/>
        <c:numFmt formatCode="0%" sourceLinked="1"/>
        <c:majorTickMark val="none"/>
        <c:minorTickMark val="none"/>
        <c:tickLblPos val="nextTo"/>
        <c:crossAx val="840175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Business - Success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'B.1.c. chart Suc &amp; Ret day eve'!$B$19:$B$21</c:f>
              <c:strCache>
                <c:ptCount val="3"/>
                <c:pt idx="0">
                  <c:v>Day </c:v>
                </c:pt>
                <c:pt idx="1">
                  <c:v>Evening</c:v>
                </c:pt>
                <c:pt idx="2">
                  <c:v>Online</c:v>
                </c:pt>
              </c:strCache>
            </c:strRef>
          </c:cat>
          <c:val>
            <c:numRef>
              <c:f>'B.1.c. chart Suc &amp; Ret day eve'!$C$19:$C$21</c:f>
              <c:numCache>
                <c:formatCode>0%</c:formatCode>
                <c:ptCount val="3"/>
                <c:pt idx="0">
                  <c:v>0.6545563636363636</c:v>
                </c:pt>
                <c:pt idx="1">
                  <c:v>0.58363841137781769</c:v>
                </c:pt>
                <c:pt idx="2">
                  <c:v>0.68035707762557074</c:v>
                </c:pt>
              </c:numCache>
            </c:numRef>
          </c:val>
        </c:ser>
        <c:dLbls>
          <c:showLegendKey val="0"/>
          <c:showVal val="0"/>
          <c:showCatName val="0"/>
          <c:showSerName val="0"/>
          <c:showPercent val="0"/>
          <c:showBubbleSize val="0"/>
        </c:dLbls>
        <c:gapWidth val="150"/>
        <c:axId val="84076800"/>
        <c:axId val="84451328"/>
      </c:barChart>
      <c:catAx>
        <c:axId val="84076800"/>
        <c:scaling>
          <c:orientation val="minMax"/>
        </c:scaling>
        <c:delete val="0"/>
        <c:axPos val="l"/>
        <c:majorTickMark val="out"/>
        <c:minorTickMark val="none"/>
        <c:tickLblPos val="nextTo"/>
        <c:crossAx val="84451328"/>
        <c:crosses val="autoZero"/>
        <c:auto val="1"/>
        <c:lblAlgn val="ctr"/>
        <c:lblOffset val="100"/>
        <c:noMultiLvlLbl val="0"/>
      </c:catAx>
      <c:valAx>
        <c:axId val="84451328"/>
        <c:scaling>
          <c:orientation val="minMax"/>
          <c:max val="1"/>
          <c:min val="0"/>
        </c:scaling>
        <c:delete val="0"/>
        <c:axPos val="b"/>
        <c:majorGridlines/>
        <c:numFmt formatCode="0%" sourceLinked="1"/>
        <c:majorTickMark val="out"/>
        <c:minorTickMark val="none"/>
        <c:tickLblPos val="nextTo"/>
        <c:crossAx val="84076800"/>
        <c:crosses val="autoZero"/>
        <c:crossBetween val="between"/>
        <c:majorUnit val="0.1"/>
        <c:minorUnit val="0.1"/>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Business</a:t>
            </a:r>
            <a:r>
              <a:rPr lang="en-US" sz="1600" baseline="0"/>
              <a:t> </a:t>
            </a:r>
            <a:r>
              <a:rPr lang="en-US" sz="1600"/>
              <a:t>- Retention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Evening</c:v>
                </c:pt>
                <c:pt idx="2">
                  <c:v>Online</c:v>
                </c:pt>
              </c:strCache>
            </c:strRef>
          </c:cat>
          <c:val>
            <c:numRef>
              <c:f>'B.1.c. chart Suc &amp; Ret day eve'!$C$35:$C$37</c:f>
              <c:numCache>
                <c:formatCode>0%</c:formatCode>
                <c:ptCount val="3"/>
                <c:pt idx="0">
                  <c:v>0.86362727272727269</c:v>
                </c:pt>
                <c:pt idx="1">
                  <c:v>0.80905908145483163</c:v>
                </c:pt>
                <c:pt idx="2">
                  <c:v>0.79908949771689497</c:v>
                </c:pt>
              </c:numCache>
            </c:numRef>
          </c:val>
        </c:ser>
        <c:dLbls>
          <c:showLegendKey val="0"/>
          <c:showVal val="0"/>
          <c:showCatName val="0"/>
          <c:showSerName val="0"/>
          <c:showPercent val="0"/>
          <c:showBubbleSize val="0"/>
        </c:dLbls>
        <c:gapWidth val="150"/>
        <c:axId val="84254720"/>
        <c:axId val="84256256"/>
      </c:barChart>
      <c:catAx>
        <c:axId val="84254720"/>
        <c:scaling>
          <c:orientation val="minMax"/>
        </c:scaling>
        <c:delete val="0"/>
        <c:axPos val="l"/>
        <c:majorTickMark val="out"/>
        <c:minorTickMark val="none"/>
        <c:tickLblPos val="nextTo"/>
        <c:crossAx val="84256256"/>
        <c:crosses val="autoZero"/>
        <c:auto val="1"/>
        <c:lblAlgn val="ctr"/>
        <c:lblOffset val="100"/>
        <c:noMultiLvlLbl val="0"/>
      </c:catAx>
      <c:valAx>
        <c:axId val="84256256"/>
        <c:scaling>
          <c:orientation val="minMax"/>
          <c:max val="1"/>
          <c:min val="0"/>
        </c:scaling>
        <c:delete val="0"/>
        <c:axPos val="b"/>
        <c:majorGridlines/>
        <c:numFmt formatCode="0%" sourceLinked="1"/>
        <c:majorTickMark val="out"/>
        <c:minorTickMark val="none"/>
        <c:tickLblPos val="nextTo"/>
        <c:crossAx val="84254720"/>
        <c:crosses val="autoZero"/>
        <c:crossBetween val="between"/>
        <c:majorUnit val="0.1"/>
        <c:minorUnit val="0.1"/>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 - Success Rates</a:t>
            </a:r>
          </a:p>
          <a:p>
            <a:pPr>
              <a:defRPr/>
            </a:pPr>
            <a:r>
              <a:rPr lang="en-US"/>
              <a:t> Fall 2010-Spring 2013</a:t>
            </a:r>
          </a:p>
        </c:rich>
      </c:tx>
      <c:overlay val="0"/>
    </c:title>
    <c:autoTitleDeleted val="0"/>
    <c:plotArea>
      <c:layout/>
      <c:barChart>
        <c:barDir val="bar"/>
        <c:grouping val="clustered"/>
        <c:varyColors val="0"/>
        <c:ser>
          <c:idx val="0"/>
          <c:order val="0"/>
          <c:tx>
            <c:strRef>
              <c:f>'B.1.d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'B.1.d chart Suc &amp; Ret by Ethnic'!$D$16:$D$20</c:f>
              <c:strCache>
                <c:ptCount val="5"/>
                <c:pt idx="0">
                  <c:v>African American</c:v>
                </c:pt>
                <c:pt idx="1">
                  <c:v>Hispanic</c:v>
                </c:pt>
                <c:pt idx="2">
                  <c:v>White</c:v>
                </c:pt>
                <c:pt idx="3">
                  <c:v>Other</c:v>
                </c:pt>
                <c:pt idx="4">
                  <c:v>Unknown</c:v>
                </c:pt>
              </c:strCache>
            </c:strRef>
          </c:cat>
          <c:val>
            <c:numRef>
              <c:f>'B.1.d chart Suc &amp; Ret by Ethnic'!$E$16:$E$20</c:f>
              <c:numCache>
                <c:formatCode>0%</c:formatCode>
                <c:ptCount val="5"/>
                <c:pt idx="0">
                  <c:v>0.33335714285714285</c:v>
                </c:pt>
                <c:pt idx="1">
                  <c:v>0.65688793671720502</c:v>
                </c:pt>
                <c:pt idx="2">
                  <c:v>0.79998916666666664</c:v>
                </c:pt>
                <c:pt idx="3">
                  <c:v>0.85000749999999992</c:v>
                </c:pt>
                <c:pt idx="4">
                  <c:v>0.71427456445993032</c:v>
                </c:pt>
              </c:numCache>
            </c:numRef>
          </c:val>
        </c:ser>
        <c:dLbls>
          <c:showLegendKey val="0"/>
          <c:showVal val="0"/>
          <c:showCatName val="0"/>
          <c:showSerName val="0"/>
          <c:showPercent val="0"/>
          <c:showBubbleSize val="0"/>
        </c:dLbls>
        <c:gapWidth val="150"/>
        <c:axId val="84313600"/>
        <c:axId val="84315136"/>
      </c:barChart>
      <c:catAx>
        <c:axId val="84313600"/>
        <c:scaling>
          <c:orientation val="minMax"/>
        </c:scaling>
        <c:delete val="0"/>
        <c:axPos val="l"/>
        <c:majorTickMark val="out"/>
        <c:minorTickMark val="none"/>
        <c:tickLblPos val="nextTo"/>
        <c:crossAx val="84315136"/>
        <c:crosses val="autoZero"/>
        <c:auto val="1"/>
        <c:lblAlgn val="ctr"/>
        <c:lblOffset val="100"/>
        <c:noMultiLvlLbl val="0"/>
      </c:catAx>
      <c:valAx>
        <c:axId val="84315136"/>
        <c:scaling>
          <c:orientation val="minMax"/>
          <c:max val="1"/>
          <c:min val="0"/>
        </c:scaling>
        <c:delete val="0"/>
        <c:axPos val="b"/>
        <c:majorGridlines/>
        <c:numFmt formatCode="0%" sourceLinked="1"/>
        <c:majorTickMark val="out"/>
        <c:minorTickMark val="none"/>
        <c:tickLblPos val="nextTo"/>
        <c:crossAx val="84313600"/>
        <c:crosses val="autoZero"/>
        <c:crossBetween val="between"/>
        <c:majorUnit val="0.1"/>
        <c:minorUnit val="0.1"/>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Business</a:t>
            </a:r>
          </a:p>
          <a:p>
            <a:pPr>
              <a:defRPr/>
            </a:pPr>
            <a:r>
              <a:rPr lang="en-US" sz="1600"/>
              <a:t> Retention Rates</a:t>
            </a:r>
          </a:p>
          <a:p>
            <a:pPr>
              <a:defRPr/>
            </a:pPr>
            <a:r>
              <a:rPr lang="en-US"/>
              <a:t> Fall 2010-Spring 2013</a:t>
            </a:r>
          </a:p>
        </c:rich>
      </c:tx>
      <c:overlay val="0"/>
    </c:title>
    <c:autoTitleDeleted val="0"/>
    <c:plotArea>
      <c:layout/>
      <c:barChart>
        <c:barDir val="bar"/>
        <c:grouping val="clustered"/>
        <c:varyColors val="0"/>
        <c:ser>
          <c:idx val="0"/>
          <c:order val="0"/>
          <c:tx>
            <c:strRef>
              <c:f>'B.1.d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'B.1.d chart Suc &amp; Ret by Ethnic'!$D$35:$D$39</c:f>
              <c:strCache>
                <c:ptCount val="5"/>
                <c:pt idx="0">
                  <c:v>African American</c:v>
                </c:pt>
                <c:pt idx="1">
                  <c:v>Hispanic</c:v>
                </c:pt>
                <c:pt idx="2">
                  <c:v>White</c:v>
                </c:pt>
                <c:pt idx="3">
                  <c:v>Other</c:v>
                </c:pt>
                <c:pt idx="4">
                  <c:v>Unknown</c:v>
                </c:pt>
              </c:strCache>
            </c:strRef>
          </c:cat>
          <c:val>
            <c:numRef>
              <c:f>'B.1.d chart Suc &amp; Ret by Ethnic'!$E$35:$E$39</c:f>
              <c:numCache>
                <c:formatCode>0%</c:formatCode>
                <c:ptCount val="5"/>
                <c:pt idx="0">
                  <c:v>0.76191904761904761</c:v>
                </c:pt>
                <c:pt idx="1">
                  <c:v>0.83785339485827293</c:v>
                </c:pt>
                <c:pt idx="2">
                  <c:v>0.91667083333333321</c:v>
                </c:pt>
                <c:pt idx="3">
                  <c:v>0.90000749999999985</c:v>
                </c:pt>
                <c:pt idx="4">
                  <c:v>0.85714041811846686</c:v>
                </c:pt>
              </c:numCache>
            </c:numRef>
          </c:val>
        </c:ser>
        <c:dLbls>
          <c:showLegendKey val="0"/>
          <c:showVal val="0"/>
          <c:showCatName val="0"/>
          <c:showSerName val="0"/>
          <c:showPercent val="0"/>
          <c:showBubbleSize val="0"/>
        </c:dLbls>
        <c:gapWidth val="150"/>
        <c:axId val="84376576"/>
        <c:axId val="84378368"/>
      </c:barChart>
      <c:catAx>
        <c:axId val="84376576"/>
        <c:scaling>
          <c:orientation val="minMax"/>
        </c:scaling>
        <c:delete val="0"/>
        <c:axPos val="l"/>
        <c:majorTickMark val="out"/>
        <c:minorTickMark val="none"/>
        <c:tickLblPos val="nextTo"/>
        <c:crossAx val="84378368"/>
        <c:crosses val="autoZero"/>
        <c:auto val="1"/>
        <c:lblAlgn val="ctr"/>
        <c:lblOffset val="100"/>
        <c:noMultiLvlLbl val="0"/>
      </c:catAx>
      <c:valAx>
        <c:axId val="84378368"/>
        <c:scaling>
          <c:orientation val="minMax"/>
          <c:max val="1"/>
          <c:min val="0"/>
        </c:scaling>
        <c:delete val="0"/>
        <c:axPos val="b"/>
        <c:majorGridlines/>
        <c:numFmt formatCode="0%" sourceLinked="1"/>
        <c:majorTickMark val="out"/>
        <c:minorTickMark val="none"/>
        <c:tickLblPos val="nextTo"/>
        <c:crossAx val="84376576"/>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6A30-B429-4142-98A4-9A7D1BA2A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17</Pages>
  <Words>2314</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Craig Blek</cp:lastModifiedBy>
  <cp:revision>15</cp:revision>
  <cp:lastPrinted>2013-11-14T21:50:00Z</cp:lastPrinted>
  <dcterms:created xsi:type="dcterms:W3CDTF">2014-02-18T22:01:00Z</dcterms:created>
  <dcterms:modified xsi:type="dcterms:W3CDTF">2014-02-26T21:05:00Z</dcterms:modified>
</cp:coreProperties>
</file>